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240" w:lineRule="auto"/>
        <w:ind w:firstLine="0"/>
        <w:jc w:val="both"/>
        <w:outlineLvl w:val="9"/>
      </w:pPr>
      <w:r>
        <w:rPr>
          <w:rFonts w:ascii="方正小标宋_GBK" w:hAnsi="方正小标宋_GBK" w:eastAsia="方正小标宋_GBK" w:cs="方正小标宋_GBK"/>
          <w:sz w:val="52"/>
        </w:rPr>
        <w:t xml:space="preserve"> </w:t>
      </w: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>
      <w:pPr>
        <w:spacing w:before="0" w:after="0"/>
        <w:ind w:firstLine="560"/>
        <w:jc w:val="left"/>
        <w:outlineLvl w:val="3"/>
      </w:pPr>
      <w:bookmarkStart w:id="0" w:name="_Toc_4_4_0000000045"/>
      <w:r>
        <w:rPr>
          <w:rFonts w:hint="default" w:ascii="方正仿宋_GBK" w:hAnsi="方正仿宋_GBK" w:eastAsia="方正仿宋_GBK" w:cs="方正仿宋_GBK"/>
          <w:sz w:val="28"/>
          <w:lang w:val="en"/>
        </w:rPr>
        <w:t>1</w:t>
      </w:r>
      <w:r>
        <w:rPr>
          <w:rFonts w:ascii="方正仿宋_GBK" w:hAnsi="方正仿宋_GBK" w:eastAsia="方正仿宋_GBK" w:cs="方正仿宋_GBK"/>
          <w:sz w:val="28"/>
        </w:rPr>
        <w:t>.*水政监察综合管理专项经费绩效目标表</w:t>
      </w:r>
      <w:bookmarkEnd w:id="0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2"/>
            </w:pPr>
            <w:r>
              <w:t>370204天津市滨海新区水政监察事务中心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1"/>
            </w:pPr>
            <w:r>
              <w:t>单位：元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*水政监察综合管理专项经费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500000.00</w:t>
            </w:r>
          </w:p>
        </w:tc>
        <w:tc>
          <w:tcPr>
            <w:tcW w:w="1587" w:type="dxa"/>
            <w:vAlign w:val="center"/>
          </w:tcPr>
          <w:p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</w:pPr>
            <w:r>
              <w:t>500000.00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/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保障水行政执法工作顺利开展；</w:t>
            </w:r>
            <w:r>
              <w:tab/>
            </w:r>
            <w:r>
              <w:t>落实中心的综合管理任务，保证办公楼正常运转</w:t>
            </w:r>
            <w:r>
              <w:tab/>
            </w:r>
            <w:r>
              <w:t>；及时完成水利工程质量检测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>
            <w:pPr>
              <w:pStyle w:val="13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bookmarkStart w:id="2" w:name="_GoBack"/>
            <w:bookmarkEnd w:id="2"/>
            <w:r>
              <w:tab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1.落实中心的综合管理任务，及时完成水利工程质量检测，保障水行政执法工作顺利开展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>
            <w:pPr>
              <w:pStyle w:val="13"/>
            </w:pPr>
            <w:r>
              <w:tab/>
            </w:r>
            <w:r>
              <w:tab/>
            </w:r>
            <w:r>
              <w:tab/>
            </w:r>
            <w:r>
              <w:tab/>
            </w:r>
          </w:p>
          <w:p>
            <w:pPr>
              <w:pStyle w:val="13"/>
            </w:pPr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>
            <w:pPr>
              <w:pStyle w:val="14"/>
            </w:pPr>
            <w:r>
              <w:t>指标值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租赁/物业管理办公用房面积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租赁/物业管理办公用房面积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1406平方米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查处各类水事违法案件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查处各类水事违法案件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≥20件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检测报告数量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检测报告数量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≥1份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查处各类水事违法案件完成率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查处各类水事违法案件完成率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办公设施设备稳定性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办公设施设备稳定性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检测质量合格率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检测质量合格率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检测报告完成时间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检测报告完成时间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2026年12月31日前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完成执法检查时间</w:t>
            </w:r>
          </w:p>
          <w:p>
            <w:pPr>
              <w:pStyle w:val="13"/>
            </w:pP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完成执法检查时间</w:t>
            </w:r>
          </w:p>
          <w:p>
            <w:pPr>
              <w:pStyle w:val="13"/>
            </w:pP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2026年12月31日前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水政监察综合管理专项经费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水政监察综合管理专项经费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≤50万元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生态效益指标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改善水环境</w:t>
            </w:r>
          </w:p>
          <w:p>
            <w:pPr>
              <w:pStyle w:val="13"/>
            </w:pP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改善水环境</w:t>
            </w:r>
          </w:p>
          <w:p>
            <w:pPr>
              <w:pStyle w:val="13"/>
            </w:pP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切实改善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提高执法水平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提高执法水平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有效提高</w:t>
            </w:r>
          </w:p>
          <w:p>
            <w:pPr>
              <w:pStyle w:val="13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群众满意度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群众满意度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≥90%</w:t>
            </w:r>
          </w:p>
        </w:tc>
      </w:tr>
    </w:tbl>
    <w:p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>
      <w:pPr>
        <w:spacing w:before="0" w:after="0"/>
        <w:ind w:firstLine="560"/>
        <w:jc w:val="left"/>
        <w:outlineLvl w:val="3"/>
      </w:pPr>
      <w:bookmarkStart w:id="1" w:name="_Toc_4_4_0000000046"/>
      <w:r>
        <w:rPr>
          <w:rFonts w:hint="default" w:ascii="方正仿宋_GBK" w:hAnsi="方正仿宋_GBK" w:eastAsia="方正仿宋_GBK" w:cs="方正仿宋_GBK"/>
          <w:sz w:val="28"/>
          <w:lang w:val="en"/>
        </w:rPr>
        <w:t>2</w:t>
      </w:r>
      <w:r>
        <w:rPr>
          <w:rFonts w:ascii="方正仿宋_GBK" w:hAnsi="方正仿宋_GBK" w:eastAsia="方正仿宋_GBK" w:cs="方正仿宋_GBK"/>
          <w:sz w:val="28"/>
        </w:rPr>
        <w:t>.水政监察综合管理专项经费绩效目标表</w:t>
      </w:r>
      <w:bookmarkEnd w:id="1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2"/>
            </w:pPr>
            <w:r>
              <w:t>370204天津市滨海新区水政监察事务中心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>
            <w:pPr>
              <w:pStyle w:val="11"/>
            </w:pPr>
            <w:r>
              <w:t>单位：元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水政监察综合管理专项经费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200000.00</w:t>
            </w:r>
          </w:p>
        </w:tc>
        <w:tc>
          <w:tcPr>
            <w:tcW w:w="1587" w:type="dxa"/>
            <w:vAlign w:val="center"/>
          </w:tcPr>
          <w:p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>
            <w:pPr>
              <w:pStyle w:val="13"/>
            </w:pPr>
            <w:r>
              <w:t>200000.00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/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通过租用执法车辆，保障水行政执法工作顺利开展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>
            <w:pPr>
              <w:pStyle w:val="13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>
            <w:pPr>
              <w:pStyle w:val="13"/>
            </w:pPr>
            <w:r>
              <w:t>1.通过租用执法车辆，保障水行政执法工作顺利开展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>
            <w:pPr>
              <w:pStyle w:val="13"/>
            </w:pPr>
          </w:p>
        </w:tc>
      </w:tr>
    </w:tbl>
    <w:p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>
            <w:pPr>
              <w:pStyle w:val="14"/>
            </w:pPr>
            <w:r>
              <w:t>指标值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租用执法车辆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租用执法车辆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4辆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查处各类水事违法案件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查处各类水事违法案件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≥20件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查处各类水事违法案件完成率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查处各类水事违法案件完成率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完成执法检查时间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完成执法检查时间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2026年12月31日前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/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水政监察管理经费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水政监察管理经费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≤20万元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提高执法水平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提高执法水平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有效提高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>
            <w:pPr>
              <w:pStyle w:val="13"/>
            </w:pPr>
            <w:r>
              <w:t>执法人员满意度</w:t>
            </w:r>
          </w:p>
        </w:tc>
        <w:tc>
          <w:tcPr>
            <w:tcW w:w="3430" w:type="dxa"/>
            <w:vAlign w:val="center"/>
          </w:tcPr>
          <w:p>
            <w:pPr>
              <w:pStyle w:val="13"/>
            </w:pPr>
            <w:r>
              <w:t>执法人员满意度</w:t>
            </w:r>
          </w:p>
        </w:tc>
        <w:tc>
          <w:tcPr>
            <w:tcW w:w="2551" w:type="dxa"/>
            <w:vAlign w:val="center"/>
          </w:tcPr>
          <w:p>
            <w:pPr>
              <w:pStyle w:val="13"/>
            </w:pPr>
            <w:r>
              <w:t>≥90%</w:t>
            </w:r>
          </w:p>
        </w:tc>
      </w:tr>
    </w:tbl>
    <w:p/>
    <w:sectPr>
      <w:pgSz w:w="11900" w:h="16840"/>
      <w:pgMar w:top="1984" w:right="1304" w:bottom="1134" w:left="130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NotTrackMoves/>
  <w:documentProtection w:enforcement="0"/>
  <w:defaultTabStop w:val="720"/>
  <w:evenAndOddHeaders w:val="true"/>
  <w:characterSpacingControl w:val="doNotCompress"/>
  <w:compat>
    <w:doNotLeaveBackslashAlone/>
    <w:doNotExpandShiftReturn/>
    <w:adjustLineHeightInTable/>
    <w:useFELayout/>
    <w:compatSetting w:name="compatibilityMode" w:uri="http://schemas.microsoft.com/office/word" w:val="15"/>
  </w:compat>
  <w:rsids>
    <w:rsidRoot w:val="00000000"/>
    <w:rsid w:val="EF6EAE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uiPriority="39" w:name="toc 3"/>
    <w:lsdException w:qFormat="1" w:unhideWhenUsed="0" w:uiPriority="0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/>
      <w:sz w:val="24"/>
      <w:szCs w:val="24"/>
      <w:lang w:val="en-US" w:eastAsia="uk-UA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before="120" w:line="240" w:lineRule="auto"/>
      <w:ind w:firstLine="0"/>
    </w:pPr>
    <w:rPr>
      <w:rFonts w:ascii="Times New Roman" w:hAnsi="Times New Roman" w:eastAsia="方正仿宋_GBK" w:cs="Times New Roman"/>
      <w:color w:val="000000"/>
      <w:sz w:val="28"/>
      <w:lang w:val="en-US"/>
    </w:rPr>
  </w:style>
  <w:style w:type="paragraph" w:styleId="3">
    <w:name w:val="toc 4"/>
    <w:basedOn w:val="1"/>
    <w:next w:val="1"/>
    <w:qFormat/>
    <w:uiPriority w:val="0"/>
    <w:pPr>
      <w:ind w:left="720"/>
    </w:pPr>
  </w:style>
  <w:style w:type="paragraph" w:styleId="4">
    <w:name w:val="toc 2"/>
    <w:basedOn w:val="1"/>
    <w:next w:val="1"/>
    <w:qFormat/>
    <w:uiPriority w:val="0"/>
    <w:pPr>
      <w:ind w:left="240"/>
    </w:p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8">
    <w:name w:val="插入文本样式-插入总体目标文件"/>
    <w:basedOn w:val="1"/>
    <w:qFormat/>
    <w:uiPriority w:val="0"/>
    <w:pPr>
      <w:spacing w:before="0" w:after="0" w:line="500" w:lineRule="exact"/>
      <w:ind w:firstLine="560"/>
      <w:jc w:val="left"/>
      <w:outlineLvl w:val="9"/>
    </w:pPr>
    <w:rPr>
      <w:rFonts w:ascii="Times New Roman" w:hAnsi="Times New Roman" w:eastAsia="方正仿宋_GBK" w:cs="Times New Roman"/>
      <w:sz w:val="28"/>
    </w:rPr>
  </w:style>
  <w:style w:type="paragraph" w:customStyle="1" w:styleId="9">
    <w:name w:val="插入文本样式-插入职责分类绩效目标文件"/>
    <w:basedOn w:val="1"/>
    <w:qFormat/>
    <w:uiPriority w:val="0"/>
    <w:pPr>
      <w:spacing w:before="0" w:after="0" w:line="500" w:lineRule="exact"/>
      <w:ind w:firstLine="560"/>
      <w:jc w:val="left"/>
      <w:outlineLvl w:val="9"/>
    </w:pPr>
    <w:rPr>
      <w:rFonts w:ascii="Times New Roman" w:hAnsi="Times New Roman" w:eastAsia="方正仿宋_GBK" w:cs="Times New Roman"/>
      <w:sz w:val="28"/>
    </w:rPr>
  </w:style>
  <w:style w:type="paragraph" w:customStyle="1" w:styleId="10">
    <w:name w:val="插入文本样式-插入实现年度发展规划目标的保障措施文件"/>
    <w:basedOn w:val="1"/>
    <w:qFormat/>
    <w:uiPriority w:val="0"/>
    <w:pPr>
      <w:spacing w:before="0" w:after="0" w:line="500" w:lineRule="exact"/>
      <w:ind w:firstLine="560"/>
      <w:jc w:val="left"/>
      <w:outlineLvl w:val="9"/>
    </w:pPr>
    <w:rPr>
      <w:rFonts w:ascii="Times New Roman" w:hAnsi="Times New Roman" w:eastAsia="方正仿宋_GBK" w:cs="Times New Roman"/>
      <w:sz w:val="28"/>
    </w:rPr>
  </w:style>
  <w:style w:type="paragraph" w:customStyle="1" w:styleId="11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12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13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14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15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ScaleCrop>false</ScaleCrop>
  <LinksUpToDate>false</LinksUpToDate>
  <Application>WPS Office_11.8.2.9583_F1E327BC-269C-435d-A152-05C5408002CA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2026-01-21T00:09:00Z</dcterms:created>
  <dc:creator>kylin</dc:creator>
  <cp:lastModifiedBy>张锦</cp:lastModifiedBy>
  <dcterms:modified xsi:type="dcterms:W3CDTF">2026-02-02T07:58:13Z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2052-11.8.2.9583</vt:lpwstr>
  </property>
</Properties>
</file>