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0" w:line="240" w:lineRule="auto"/>
        <w:ind w:firstLine="0"/>
        <w:jc w:val="center"/>
        <w:outlineLvl w:val="9"/>
      </w:pPr>
      <w:r>
        <w:rPr>
          <w:rFonts w:ascii="方正小标宋_GBK" w:hAnsi="方正小标宋_GBK" w:eastAsia="方正小标宋_GBK" w:cs="方正小标宋_GBK"/>
          <w:sz w:val="52"/>
        </w:rPr>
        <w:t xml:space="preserve"> </w:t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方正小标宋_GBK" w:hAnsi="方正小标宋_GBK" w:eastAsia="方正小标宋_GBK" w:cs="方正小标宋_GBK"/>
          <w:sz w:val="52"/>
        </w:rPr>
        <w:t xml:space="preserve"> </w:t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方正小标宋_GBK" w:hAnsi="方正小标宋_GBK" w:eastAsia="方正小标宋_GBK" w:cs="方正小标宋_GBK"/>
          <w:sz w:val="52"/>
        </w:rPr>
        <w:t xml:space="preserve"> </w:t>
      </w:r>
    </w:p>
    <w:p>
      <w:pPr>
        <w:spacing w:before="0" w:after="0" w:line="240" w:lineRule="auto"/>
        <w:ind w:firstLine="0"/>
        <w:jc w:val="center"/>
        <w:outlineLvl w:val="9"/>
        <w:rPr>
          <w:rFonts w:hint="eastAsia" w:eastAsia="方正小标宋_GBK"/>
          <w:lang w:eastAsia="zh-CN"/>
        </w:rPr>
      </w:pPr>
      <w:r>
        <w:rPr>
          <w:rFonts w:ascii="方正小标宋_GBK" w:hAnsi="方正小标宋_GBK" w:eastAsia="方正小标宋_GBK" w:cs="方正小标宋_GBK"/>
          <w:sz w:val="72"/>
        </w:rPr>
        <w:t>天津市滨海新区水务局</w:t>
      </w:r>
      <w:r>
        <w:rPr>
          <w:rFonts w:ascii="方正小标宋_GBK" w:hAnsi="方正小标宋_GBK" w:eastAsia="方正小标宋_GBK" w:cs="方正小标宋_GBK"/>
          <w:sz w:val="72"/>
          <w:lang w:val="en"/>
        </w:rPr>
        <w:t>（本级）</w:t>
      </w:r>
      <w:r>
        <w:rPr>
          <w:rFonts w:ascii="方正小标宋_GBK" w:hAnsi="方正小标宋_GBK" w:eastAsia="方正小标宋_GBK" w:cs="方正小标宋_GBK"/>
          <w:sz w:val="72"/>
        </w:rPr>
        <w:t>2026年</w:t>
      </w:r>
      <w:r>
        <w:rPr>
          <w:rFonts w:hint="eastAsia" w:ascii="方正小标宋_GBK" w:hAnsi="方正小标宋_GBK" w:eastAsia="方正小标宋_GBK" w:cs="方正小标宋_GBK"/>
          <w:sz w:val="72"/>
          <w:lang w:eastAsia="zh-CN"/>
        </w:rPr>
        <w:t>预算项目绩效目标</w:t>
      </w:r>
    </w:p>
    <w:p>
      <w:pPr>
        <w:spacing w:before="0" w:after="0" w:line="240" w:lineRule="auto"/>
        <w:ind w:firstLine="0"/>
        <w:jc w:val="center"/>
        <w:outlineLvl w:val="9"/>
      </w:pP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宋体" w:hAnsi="宋体" w:eastAsia="宋体" w:cs="宋体"/>
          <w:sz w:val="21"/>
        </w:rPr>
        <w:t xml:space="preserve"> </w:t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宋体" w:hAnsi="宋体" w:eastAsia="宋体" w:cs="宋体"/>
          <w:sz w:val="21"/>
        </w:rPr>
        <w:t xml:space="preserve"> </w:t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宋体" w:hAnsi="宋体" w:eastAsia="宋体" w:cs="宋体"/>
          <w:sz w:val="21"/>
        </w:rPr>
        <w:t xml:space="preserve"> </w:t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宋体" w:hAnsi="宋体" w:eastAsia="宋体" w:cs="宋体"/>
          <w:sz w:val="21"/>
        </w:rPr>
        <w:t xml:space="preserve"> </w:t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宋体" w:hAnsi="宋体" w:eastAsia="宋体" w:cs="宋体"/>
          <w:sz w:val="21"/>
        </w:rPr>
        <w:t xml:space="preserve"> </w:t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宋体" w:hAnsi="宋体" w:eastAsia="宋体" w:cs="宋体"/>
          <w:sz w:val="21"/>
        </w:rPr>
        <w:t xml:space="preserve"> </w:t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宋体" w:hAnsi="宋体" w:eastAsia="宋体" w:cs="宋体"/>
          <w:sz w:val="21"/>
        </w:rPr>
        <w:t xml:space="preserve"> </w:t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宋体" w:hAnsi="宋体" w:eastAsia="宋体" w:cs="宋体"/>
          <w:sz w:val="21"/>
        </w:rPr>
        <w:t xml:space="preserve"> </w:t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宋体" w:hAnsi="宋体" w:eastAsia="宋体" w:cs="宋体"/>
          <w:sz w:val="21"/>
        </w:rPr>
        <w:t xml:space="preserve"> </w:t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宋体" w:hAnsi="宋体" w:eastAsia="宋体" w:cs="宋体"/>
          <w:sz w:val="21"/>
        </w:rPr>
        <w:t xml:space="preserve"> </w:t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宋体" w:hAnsi="宋体" w:eastAsia="宋体" w:cs="宋体"/>
          <w:sz w:val="21"/>
        </w:rPr>
        <w:t xml:space="preserve"> </w:t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宋体" w:hAnsi="宋体" w:eastAsia="宋体" w:cs="宋体"/>
          <w:sz w:val="21"/>
        </w:rPr>
        <w:t xml:space="preserve"> </w:t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宋体" w:hAnsi="宋体" w:eastAsia="宋体" w:cs="宋体"/>
          <w:sz w:val="21"/>
        </w:rPr>
        <w:t xml:space="preserve"> </w:t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宋体" w:hAnsi="宋体" w:eastAsia="宋体" w:cs="宋体"/>
          <w:sz w:val="21"/>
        </w:rPr>
        <w:t xml:space="preserve"> </w:t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宋体" w:hAnsi="宋体" w:eastAsia="宋体" w:cs="宋体"/>
          <w:sz w:val="21"/>
        </w:rPr>
        <w:t xml:space="preserve"> </w:t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宋体" w:hAnsi="宋体" w:eastAsia="宋体" w:cs="宋体"/>
          <w:sz w:val="21"/>
        </w:rPr>
        <w:t xml:space="preserve"> </w:t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宋体" w:hAnsi="宋体" w:eastAsia="宋体" w:cs="宋体"/>
          <w:sz w:val="21"/>
        </w:rPr>
        <w:t xml:space="preserve"> </w:t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宋体" w:hAnsi="宋体" w:eastAsia="宋体" w:cs="宋体"/>
          <w:sz w:val="21"/>
        </w:rPr>
        <w:t xml:space="preserve"> </w:t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方正楷体_GBK" w:hAnsi="方正楷体_GBK" w:eastAsia="方正楷体_GBK" w:cs="方正楷体_GBK"/>
          <w:b/>
          <w:sz w:val="32"/>
        </w:rPr>
        <w:t>天津市滨海新区水务局编制</w:t>
      </w:r>
    </w:p>
    <w:p>
      <w:pPr>
        <w:spacing w:before="0" w:after="0" w:line="240" w:lineRule="auto"/>
        <w:ind w:firstLine="0"/>
        <w:jc w:val="center"/>
        <w:outlineLvl w:val="9"/>
        <w:sectPr>
          <w:footerReference r:id="rId3" w:type="default"/>
          <w:footerReference r:id="rId4" w:type="even"/>
          <w:pgSz w:w="11900" w:h="16840"/>
          <w:pgMar w:top="1984" w:right="1304" w:bottom="1134" w:left="1304" w:header="720" w:footer="720" w:gutter="0"/>
          <w:cols w:space="720" w:num="1"/>
        </w:sectPr>
      </w:pPr>
      <w:r>
        <w:rPr>
          <w:rFonts w:ascii="方正楷体_GBK" w:hAnsi="方正楷体_GBK" w:eastAsia="方正楷体_GBK" w:cs="方正楷体_GBK"/>
          <w:b/>
          <w:sz w:val="32"/>
        </w:rPr>
        <w:t>审核</w:t>
      </w: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方正小标宋_GBK" w:hAnsi="方正小标宋_GBK" w:eastAsia="方正小标宋_GBK" w:cs="方正小标宋_GBK"/>
          <w:sz w:val="52"/>
        </w:rPr>
        <w:t xml:space="preserve"> </w:t>
      </w:r>
    </w:p>
    <w:p>
      <w:pPr>
        <w:spacing w:before="0" w:after="0" w:line="240" w:lineRule="auto"/>
        <w:ind w:firstLine="0"/>
        <w:jc w:val="center"/>
        <w:outlineLvl w:val="9"/>
      </w:pPr>
    </w:p>
    <w:p>
      <w:pPr>
        <w:spacing w:before="0" w:after="0"/>
        <w:ind w:firstLine="560"/>
        <w:jc w:val="left"/>
        <w:outlineLvl w:val="3"/>
      </w:pPr>
      <w:bookmarkStart w:id="0" w:name="_Toc_4_4_0000000004"/>
      <w:r>
        <w:rPr>
          <w:rFonts w:ascii="方正仿宋_GBK" w:hAnsi="方正仿宋_GBK" w:eastAsia="方正仿宋_GBK" w:cs="方正仿宋_GBK"/>
          <w:sz w:val="28"/>
        </w:rPr>
        <w:t>1.*2026年水土保持专项经费绩效目标表</w:t>
      </w:r>
      <w:bookmarkEnd w:id="0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2"/>
            </w:pPr>
            <w:r>
              <w:t>370101天津市滨海新区水务局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1"/>
            </w:pPr>
            <w:r>
              <w:t>单位：元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*2026年水土保持专项经费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3000000.00</w:t>
            </w:r>
          </w:p>
        </w:tc>
        <w:tc>
          <w:tcPr>
            <w:tcW w:w="1587" w:type="dxa"/>
            <w:vAlign w:val="center"/>
          </w:tcPr>
          <w:p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>
            <w:pPr>
              <w:pStyle w:val="13"/>
            </w:pPr>
            <w:r>
              <w:t>3000000.00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/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进行水土流失专项监测，按要求进行水土保持监督检查、验收核查、图斑核查、宣传培训等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1.通过完成生产建设项目水土保持监督检查及水土流失监测工作，提升水土保持监管效能，提高水土保持率</w:t>
            </w:r>
          </w:p>
        </w:tc>
      </w:tr>
    </w:tbl>
    <w:p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>
            <w:pPr>
              <w:pStyle w:val="14"/>
            </w:pPr>
            <w:r>
              <w:t>指标值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水土流失专项监测时间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水土流失专项监测时间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2026年12月31日前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提交监测文本数量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提交监测文本数量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1个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遥感图斑点位核查率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遥感图斑点位核查率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100%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专项监测完成率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专项监测完成率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≥90%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遥感图斑点位合格率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遥感图斑点位合格率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≥90%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水土保持工作经费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水土保持工作经费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≤300万元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为防风固沙、涵养水源、保持水土等水土保持工作提供指导和技术支持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为防风固沙、涵养水源、保持水土等水土保持工作提供指导和技术支持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有效提供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职能部门满意度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职能部门满意度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100%</w:t>
            </w:r>
          </w:p>
        </w:tc>
      </w:tr>
    </w:tbl>
    <w:p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>
      <w:pPr>
        <w:spacing w:before="0" w:after="0"/>
        <w:ind w:firstLine="560"/>
        <w:jc w:val="left"/>
        <w:outlineLvl w:val="3"/>
      </w:pPr>
      <w:bookmarkStart w:id="1" w:name="_Toc_4_4_0000000005"/>
      <w:r>
        <w:rPr>
          <w:rFonts w:ascii="方正仿宋_GBK" w:hAnsi="方正仿宋_GBK" w:eastAsia="方正仿宋_GBK" w:cs="方正仿宋_GBK"/>
          <w:sz w:val="28"/>
        </w:rPr>
        <w:t>2.*2026年水务综合管理专项绩效目标表</w:t>
      </w:r>
      <w:bookmarkEnd w:id="1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2"/>
            </w:pPr>
            <w:r>
              <w:t>370101天津市滨海新区水务局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1"/>
            </w:pPr>
            <w:r>
              <w:t>单位：元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*2026年水务综合管理专项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20000000.00</w:t>
            </w:r>
          </w:p>
        </w:tc>
        <w:tc>
          <w:tcPr>
            <w:tcW w:w="1587" w:type="dxa"/>
            <w:vAlign w:val="center"/>
          </w:tcPr>
          <w:p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>
            <w:pPr>
              <w:pStyle w:val="13"/>
            </w:pPr>
            <w:r>
              <w:t>20000000.00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/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用于审计、评审、诉讼、网络等单位运行，防汛、控沉、节水等系统运维，水利排水、河湖水网、水资源利用等规划编制，监管，应急处置等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1.通过开展审计、费用评审、处理涉诉事项、维护公文系统正常流转，保障部门正常运转，提升综合管理水平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>
            <w:pPr>
              <w:pStyle w:val="13"/>
            </w:pPr>
          </w:p>
          <w:p>
            <w:pPr>
              <w:pStyle w:val="13"/>
            </w:pPr>
            <w:r>
              <w:t>2.通过完成水利排水、河湖水网、水资源利用等规划编制和防汛、控沉、节水等系统运维监管，提升新区水务工作管理水平</w:t>
            </w:r>
          </w:p>
        </w:tc>
      </w:tr>
    </w:tbl>
    <w:p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>
            <w:pPr>
              <w:pStyle w:val="14"/>
            </w:pPr>
            <w:r>
              <w:t>指标值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项目支付个数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项目支付个数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≥8个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运维系统个数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运维系统个数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≥2个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处理涉诉事项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处理涉诉事项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≥1个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系统正常运行率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系统正常运行率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≥90%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服务超期率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服务超期率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&lt;10%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水务综合管理工作完成时间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水务综合管理工作完成时间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2026年12月31日前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水务综合管理工作实施费用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水务综合管理工作实施费用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≤2000万元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保障部门正常运转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保障部门正常运转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切实保障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保障信息系统正常运转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保障信息系统正常运转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切实保障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系统使用人员满意度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系统使用人员满意度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≥90%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主管部门满意度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主管部门满意度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≥95%</w:t>
            </w:r>
          </w:p>
        </w:tc>
      </w:tr>
    </w:tbl>
    <w:p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>
      <w:pPr>
        <w:spacing w:before="0" w:after="0"/>
        <w:ind w:firstLine="560"/>
        <w:jc w:val="left"/>
        <w:outlineLvl w:val="3"/>
      </w:pPr>
      <w:bookmarkStart w:id="2" w:name="_Toc_4_4_0000000006"/>
      <w:r>
        <w:rPr>
          <w:rFonts w:ascii="方正仿宋_GBK" w:hAnsi="方正仿宋_GBK" w:eastAsia="方正仿宋_GBK" w:cs="方正仿宋_GBK"/>
          <w:sz w:val="28"/>
        </w:rPr>
        <w:t>3.2026年大中型水库农村移民扶持直补资金绩效目标表</w:t>
      </w:r>
      <w:bookmarkEnd w:id="2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2"/>
            </w:pPr>
            <w:r>
              <w:t>370101天津市滨海新区水务局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1"/>
            </w:pPr>
            <w:r>
              <w:t>单位：元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2026年大中型水库农村移民扶持直补资金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32400.00</w:t>
            </w:r>
          </w:p>
        </w:tc>
        <w:tc>
          <w:tcPr>
            <w:tcW w:w="1587" w:type="dxa"/>
            <w:vAlign w:val="center"/>
          </w:tcPr>
          <w:p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>
            <w:pPr>
              <w:pStyle w:val="13"/>
            </w:pPr>
            <w:r>
              <w:t>32400.00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/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发放库区移民补助资金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1.及时完成库区移民补助资金的发放，受扶持移民人口满意度达到90%</w:t>
            </w:r>
          </w:p>
        </w:tc>
      </w:tr>
    </w:tbl>
    <w:p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>
            <w:pPr>
              <w:pStyle w:val="14"/>
            </w:pPr>
            <w:r>
              <w:t>指标值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原有扶持人口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原有扶持人口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≥44人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扶持资金到位率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扶持资金到位率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100%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计划完成时限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计划完成时限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2026年12月31日前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扶持资金预计单项人均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扶持资金预计单项人均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600元/人/年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可持续影响指标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提高移民生活水平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提高移民生活水平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有所提高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受扶持人口满意度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受扶持人口满意度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≥90%</w:t>
            </w:r>
          </w:p>
        </w:tc>
      </w:tr>
    </w:tbl>
    <w:p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>
      <w:pPr>
        <w:spacing w:before="0" w:after="0"/>
        <w:ind w:firstLine="560"/>
        <w:jc w:val="left"/>
        <w:outlineLvl w:val="3"/>
      </w:pPr>
      <w:bookmarkStart w:id="3" w:name="_Toc_4_4_0000000007"/>
      <w:r>
        <w:rPr>
          <w:rFonts w:ascii="方正仿宋_GBK" w:hAnsi="方正仿宋_GBK" w:eastAsia="方正仿宋_GBK" w:cs="方正仿宋_GBK"/>
          <w:sz w:val="28"/>
        </w:rPr>
        <w:t>4.2026年农业水价综合改革绩效目标表</w:t>
      </w:r>
      <w:bookmarkEnd w:id="3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2"/>
            </w:pPr>
            <w:r>
              <w:t>370101天津市滨海新区水务局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1"/>
            </w:pPr>
            <w:r>
              <w:t>单位：元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2026年农业水价综合改革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100000.00</w:t>
            </w:r>
          </w:p>
        </w:tc>
        <w:tc>
          <w:tcPr>
            <w:tcW w:w="1587" w:type="dxa"/>
            <w:vAlign w:val="center"/>
          </w:tcPr>
          <w:p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>
            <w:pPr>
              <w:pStyle w:val="13"/>
            </w:pPr>
            <w:r>
              <w:t>100000.00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/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巡检维护在线计量设施，升级维护取水在线计量平台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1.开展计量设施迎检工作，提高取水在线监控水平</w:t>
            </w:r>
          </w:p>
        </w:tc>
      </w:tr>
    </w:tbl>
    <w:p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>
            <w:pPr>
              <w:pStyle w:val="14"/>
            </w:pPr>
            <w:r>
              <w:t>指标值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每年计量设施巡检次数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每年计量设施巡检次数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2次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费用支付完成时间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费用支付完成时间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2026年12月31日前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计量设施维护和升级费用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计量设施维护和升级费用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≤10万元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计量数据达标率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计量数据达标率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≥95%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提高取水在线监控水平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提升取水在线监控水平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有效提升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确保用户能方便的查询用水数据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确保用户能方便的查询用水数据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有效确保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用户满意度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用户满意度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≥97%</w:t>
            </w:r>
          </w:p>
        </w:tc>
      </w:tr>
    </w:tbl>
    <w:p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>
      <w:pPr>
        <w:spacing w:before="0" w:after="0"/>
        <w:ind w:firstLine="560"/>
        <w:jc w:val="left"/>
        <w:outlineLvl w:val="3"/>
      </w:pPr>
      <w:bookmarkStart w:id="4" w:name="_Toc_4_4_0000000008"/>
      <w:r>
        <w:rPr>
          <w:rFonts w:ascii="方正仿宋_GBK" w:hAnsi="方正仿宋_GBK" w:eastAsia="方正仿宋_GBK" w:cs="方正仿宋_GBK"/>
          <w:sz w:val="28"/>
        </w:rPr>
        <w:t>5.2026其他政府性基金专项债券付息支出（农业社保室）绩效目标表</w:t>
      </w:r>
      <w:bookmarkEnd w:id="4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2"/>
            </w:pPr>
            <w:r>
              <w:t>370101天津市滨海新区水务局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1"/>
            </w:pPr>
            <w:r>
              <w:t>单位：元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2026其他政府性基金专项债券付息支出（农业社保室）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2794260.00</w:t>
            </w:r>
          </w:p>
        </w:tc>
        <w:tc>
          <w:tcPr>
            <w:tcW w:w="1587" w:type="dxa"/>
            <w:vAlign w:val="center"/>
          </w:tcPr>
          <w:p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>
            <w:pPr>
              <w:pStyle w:val="13"/>
            </w:pPr>
            <w:r>
              <w:t>2794260.00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/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通过按时偿还区水务局2026年其他政府性基金专项债券利息，保障债权人权利，保障项目顺利进行</w:t>
            </w:r>
            <w:r>
              <w:tab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1.通过按时偿还区水务局2026年其他政府性基金专项债券利息，保障债权人权利，保障项目顺利进行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</w:tc>
      </w:tr>
    </w:tbl>
    <w:p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>
            <w:pPr>
              <w:pStyle w:val="14"/>
            </w:pPr>
            <w:r>
              <w:t>指标值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支付银行利息合同数量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支付银行利息合同数量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≥5个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利息支付合规率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利息支付合规率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≥100%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利息支付完成时间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利息支付完成时间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2026年12月31日前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偿还本息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偿还本息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≤280万元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保障债权人权利，保障项目顺利进行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保障债权人权利，保障项目顺利进行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有效保障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债权人满意度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债权人满意度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≥85%</w:t>
            </w:r>
          </w:p>
        </w:tc>
      </w:tr>
    </w:tbl>
    <w:p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>
      <w:pPr>
        <w:spacing w:before="0" w:after="0"/>
        <w:ind w:firstLine="560"/>
        <w:jc w:val="left"/>
        <w:outlineLvl w:val="3"/>
      </w:pPr>
      <w:bookmarkStart w:id="5" w:name="_Toc_4_4_0000000009"/>
      <w:r>
        <w:rPr>
          <w:rFonts w:ascii="方正仿宋_GBK" w:hAnsi="方正仿宋_GBK" w:eastAsia="方正仿宋_GBK" w:cs="方正仿宋_GBK"/>
          <w:sz w:val="28"/>
        </w:rPr>
        <w:t>6.2026其他自行试点专项债券付息支出（农业社保室）绩效目标表</w:t>
      </w:r>
      <w:bookmarkEnd w:id="5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2"/>
            </w:pPr>
            <w:r>
              <w:t>370101天津市滨海新区水务局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1"/>
            </w:pPr>
            <w:r>
              <w:t>单位：元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2026其他自行试点专项债券付息支出（农业社保室）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90731351.77</w:t>
            </w:r>
          </w:p>
        </w:tc>
        <w:tc>
          <w:tcPr>
            <w:tcW w:w="1587" w:type="dxa"/>
            <w:vAlign w:val="center"/>
          </w:tcPr>
          <w:p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>
            <w:pPr>
              <w:pStyle w:val="13"/>
            </w:pPr>
            <w:r>
              <w:t>90731351.77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/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通过按时偿还区水务局2026年其他自行试点专项债券利息，保障债权人权利，保障项目顺利进行</w:t>
            </w:r>
            <w:r>
              <w:tab/>
            </w:r>
            <w:r>
              <w:tab/>
            </w:r>
            <w:r>
              <w:tab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1.通过按时偿还区水务局2026年其他自行试点专项债券利息，保障债权人权利，保障项目顺利进行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</w:tc>
      </w:tr>
    </w:tbl>
    <w:p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>
            <w:pPr>
              <w:pStyle w:val="14"/>
            </w:pPr>
            <w:r>
              <w:t>指标值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支付银行利息合同数量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支付银行利息合同数量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≥5个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利息支付合规率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利息支付合规率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≥100%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利息支付完成时间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利息支付完成时间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2026年12月31日前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偿还本息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偿还本息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≤9073.14万元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保障债权人权利，保障项目顺利进行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保障债权人权利，保障项目顺利进行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有效保障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债权人满意度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债权人满意度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≥85%</w:t>
            </w:r>
          </w:p>
        </w:tc>
      </w:tr>
    </w:tbl>
    <w:p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>
      <w:pPr>
        <w:spacing w:before="0" w:after="0"/>
        <w:ind w:firstLine="560"/>
        <w:jc w:val="left"/>
        <w:outlineLvl w:val="3"/>
      </w:pPr>
      <w:bookmarkStart w:id="6" w:name="_Toc_4_4_0000000010"/>
      <w:r>
        <w:rPr>
          <w:rFonts w:ascii="方正仿宋_GBK" w:hAnsi="方正仿宋_GBK" w:eastAsia="方正仿宋_GBK" w:cs="方正仿宋_GBK"/>
          <w:sz w:val="28"/>
        </w:rPr>
        <w:t>7.2026一般债券付息支出（农业社保室）绩效目标表</w:t>
      </w:r>
      <w:bookmarkEnd w:id="6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2"/>
            </w:pPr>
            <w:r>
              <w:t>370101天津市滨海新区水务局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1"/>
            </w:pPr>
            <w:r>
              <w:t>单位：元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2026一般债券付息支出（农业社保室）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57382514.84</w:t>
            </w:r>
          </w:p>
        </w:tc>
        <w:tc>
          <w:tcPr>
            <w:tcW w:w="1587" w:type="dxa"/>
            <w:vAlign w:val="center"/>
          </w:tcPr>
          <w:p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>
            <w:pPr>
              <w:pStyle w:val="13"/>
            </w:pPr>
            <w:r>
              <w:t>57382514.84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/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通过按时偿还区水务局2026年一般债券利息，保障债权人权利，保障项目顺利进行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1.通过按时偿还区水务局2026年一般债券利息，保障债权人权利，保障项目顺利进行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</w:tc>
      </w:tr>
    </w:tbl>
    <w:p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>
            <w:pPr>
              <w:pStyle w:val="14"/>
            </w:pPr>
            <w:r>
              <w:t>指标值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支付银行利息合同数量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支付银行利息合同数量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≥3个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利息支付合规率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利息支付合规率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≥100%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利息支付完成时间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利息支付完成时间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2026年12月31日前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偿还本息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偿还本息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≤5738.26万元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保障债权人权利，保障项目顺利进行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保障债权人权利，保障项目顺利进行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有效保障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债权人满意度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债权人满意度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≥85%</w:t>
            </w:r>
          </w:p>
        </w:tc>
      </w:tr>
    </w:tbl>
    <w:p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>
      <w:pPr>
        <w:spacing w:before="0" w:after="0"/>
        <w:ind w:firstLine="560"/>
        <w:jc w:val="left"/>
        <w:outlineLvl w:val="3"/>
      </w:pPr>
      <w:bookmarkStart w:id="7" w:name="_Toc_4_4_0000000011"/>
      <w:r>
        <w:rPr>
          <w:rFonts w:ascii="方正仿宋_GBK" w:hAnsi="方正仿宋_GBK" w:eastAsia="方正仿宋_GBK" w:cs="方正仿宋_GBK"/>
          <w:sz w:val="28"/>
        </w:rPr>
        <w:t>8.滨海新区塘沽片区公共供水管网漏损治理工程绩效目标表</w:t>
      </w:r>
      <w:bookmarkEnd w:id="7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2"/>
            </w:pPr>
            <w:r>
              <w:t>370101天津市滨海新区水务局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1"/>
            </w:pPr>
            <w:r>
              <w:t>单位：元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滨海新区塘沽片区公共供水管网漏损治理工程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13000000.00</w:t>
            </w:r>
          </w:p>
        </w:tc>
        <w:tc>
          <w:tcPr>
            <w:tcW w:w="1587" w:type="dxa"/>
            <w:vAlign w:val="center"/>
          </w:tcPr>
          <w:p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>
            <w:pPr>
              <w:pStyle w:val="13"/>
            </w:pPr>
            <w:r>
              <w:t>13000000.00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/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用于滨海新区塘沽片区公共供水管网漏损治理工程-市政道路及小区旧管网改造工程建设相关支出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1.通过完成滨海新区塘沽片区公共供水管网漏损治理工程-市政道路及小区旧管网改造工程，降低塘沽片区塘黄路、新北路、华云园小区、隆盛花园一期小区、贻丰园小区供水漏损率，提高供水效能。</w:t>
            </w:r>
          </w:p>
        </w:tc>
      </w:tr>
    </w:tbl>
    <w:p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>
            <w:pPr>
              <w:pStyle w:val="14"/>
            </w:pPr>
            <w:r>
              <w:t>指标值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改造小区数量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改造小区数量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≥185个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漏损率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漏损率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≤10%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资金完成支付时间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资金完成支付时间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2026年12月31日前完成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项目概算总投资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项目概算总投资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≤1300万元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提高改造小区居民供水质量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提高改造小区居民供水质量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有效提高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群众满意度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群众满意度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≥80%</w:t>
            </w:r>
          </w:p>
        </w:tc>
      </w:tr>
    </w:tbl>
    <w:p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>
      <w:pPr>
        <w:spacing w:before="0" w:after="0"/>
        <w:ind w:firstLine="560"/>
        <w:jc w:val="left"/>
        <w:outlineLvl w:val="3"/>
      </w:pPr>
      <w:bookmarkStart w:id="8" w:name="_Toc_4_4_0000000012"/>
      <w:r>
        <w:rPr>
          <w:rFonts w:ascii="方正仿宋_GBK" w:hAnsi="方正仿宋_GBK" w:eastAsia="方正仿宋_GBK" w:cs="方正仿宋_GBK"/>
          <w:sz w:val="28"/>
        </w:rPr>
        <w:t>9.天津市财政局关于提前下达2025年中央财政水利发展资金预算的通知（津财农指[2024]64号）绩效目标表</w:t>
      </w:r>
      <w:bookmarkEnd w:id="8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2"/>
            </w:pPr>
            <w:r>
              <w:t>370101天津市滨海新区水务局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1"/>
            </w:pPr>
            <w:r>
              <w:t>单位：元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天津市财政局关于提前下达2025年中央财政水利发展资金预算的通知（津财农指[2024]64号）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3140000.00</w:t>
            </w:r>
          </w:p>
        </w:tc>
        <w:tc>
          <w:tcPr>
            <w:tcW w:w="1587" w:type="dxa"/>
            <w:vAlign w:val="center"/>
          </w:tcPr>
          <w:p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>
            <w:pPr>
              <w:pStyle w:val="13"/>
            </w:pPr>
            <w:r>
              <w:t>3140000.00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/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用于2026年农村供水维修养护项目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1.通过实施2026年度农村供水保障工程维修养护项目，使村民享受优质供水服务。</w:t>
            </w:r>
          </w:p>
        </w:tc>
      </w:tr>
    </w:tbl>
    <w:p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>
            <w:pPr>
              <w:pStyle w:val="14"/>
            </w:pPr>
            <w:r>
              <w:t>指标值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涉及街镇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涉及街镇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6个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街道维护合格率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街道维护合格率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100%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街道维护完成时间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街道维护完成时间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2026年底完成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平均每个街镇养护费用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平均每个街镇养护费用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52万元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提高村民饮水质量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提高村民饮水质量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符合要求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村民满意度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村民满意度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≥90%</w:t>
            </w:r>
          </w:p>
        </w:tc>
      </w:tr>
    </w:tbl>
    <w:p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  <w:bookmarkStart w:id="9" w:name="_GoBack"/>
      <w:bookmarkEnd w:id="9"/>
    </w:p>
    <w:p/>
    <w:sectPr>
      <w:pgSz w:w="11900" w:h="16840"/>
      <w:pgMar w:top="1984" w:right="1304" w:bottom="1134" w:left="130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Microsoft YaHei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Droid S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NotTrackMoves/>
  <w:documentProtection w:enforcement="0"/>
  <w:defaultTabStop w:val="720"/>
  <w:evenAndOddHeaders w:val="true"/>
  <w:characterSpacingControl w:val="doNotCompress"/>
  <w:compat>
    <w:doNotLeaveBackslashAlone/>
    <w:doNotExpandShiftReturn/>
    <w:adjustLineHeightInTable/>
    <w:useFELayout/>
    <w:compatSetting w:name="compatibilityMode" w:uri="http://schemas.microsoft.com/office/word" w:val="15"/>
  </w:compat>
  <w:rsids>
    <w:rsidRoot w:val="00000000"/>
    <w:rsid w:val="7BB6A7F6"/>
    <w:rsid w:val="7CFD0BCB"/>
    <w:rsid w:val="AFF3FEE3"/>
    <w:rsid w:val="FEFFFBD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uiPriority="39" w:name="toc 3"/>
    <w:lsdException w:qFormat="1" w:unhideWhenUsed="0" w:uiPriority="0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before="120" w:line="240" w:lineRule="auto"/>
      <w:ind w:firstLine="0"/>
    </w:pPr>
    <w:rPr>
      <w:rFonts w:ascii="Times New Roman" w:hAnsi="Times New Roman" w:eastAsia="方正仿宋_GBK" w:cs="Times New Roman"/>
      <w:color w:val="000000"/>
      <w:sz w:val="28"/>
      <w:lang w:val="en-US"/>
    </w:rPr>
  </w:style>
  <w:style w:type="paragraph" w:styleId="3">
    <w:name w:val="toc 4"/>
    <w:basedOn w:val="1"/>
    <w:next w:val="1"/>
    <w:qFormat/>
    <w:uiPriority w:val="0"/>
    <w:pPr>
      <w:ind w:left="720"/>
    </w:pPr>
  </w:style>
  <w:style w:type="paragraph" w:styleId="4">
    <w:name w:val="toc 2"/>
    <w:basedOn w:val="1"/>
    <w:next w:val="1"/>
    <w:qFormat/>
    <w:uiPriority w:val="0"/>
    <w:pPr>
      <w:ind w:left="240"/>
    </w:p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8">
    <w:name w:val="插入文本样式-插入总体目标文件"/>
    <w:basedOn w:val="1"/>
    <w:qFormat/>
    <w:uiPriority w:val="0"/>
    <w:pPr>
      <w:spacing w:before="0" w:after="0" w:line="500" w:lineRule="exact"/>
      <w:ind w:firstLine="560"/>
      <w:jc w:val="left"/>
      <w:outlineLvl w:val="9"/>
    </w:pPr>
    <w:rPr>
      <w:rFonts w:ascii="Times New Roman" w:hAnsi="Times New Roman" w:eastAsia="方正仿宋_GBK" w:cs="Times New Roman"/>
      <w:sz w:val="28"/>
    </w:rPr>
  </w:style>
  <w:style w:type="paragraph" w:customStyle="1" w:styleId="9">
    <w:name w:val="插入文本样式-插入职责分类绩效目标文件"/>
    <w:basedOn w:val="1"/>
    <w:qFormat/>
    <w:uiPriority w:val="0"/>
    <w:pPr>
      <w:spacing w:before="0" w:after="0" w:line="500" w:lineRule="exact"/>
      <w:ind w:firstLine="560"/>
      <w:jc w:val="left"/>
      <w:outlineLvl w:val="9"/>
    </w:pPr>
    <w:rPr>
      <w:rFonts w:ascii="Times New Roman" w:hAnsi="Times New Roman" w:eastAsia="方正仿宋_GBK" w:cs="Times New Roman"/>
      <w:sz w:val="28"/>
    </w:rPr>
  </w:style>
  <w:style w:type="paragraph" w:customStyle="1" w:styleId="10">
    <w:name w:val="插入文本样式-插入实现年度发展规划目标的保障措施文件"/>
    <w:basedOn w:val="1"/>
    <w:qFormat/>
    <w:uiPriority w:val="0"/>
    <w:pPr>
      <w:spacing w:before="0" w:after="0" w:line="500" w:lineRule="exact"/>
      <w:ind w:firstLine="560"/>
      <w:jc w:val="left"/>
      <w:outlineLvl w:val="9"/>
    </w:pPr>
    <w:rPr>
      <w:rFonts w:ascii="Times New Roman" w:hAnsi="Times New Roman" w:eastAsia="方正仿宋_GBK" w:cs="Times New Roman"/>
      <w:sz w:val="28"/>
    </w:rPr>
  </w:style>
  <w:style w:type="paragraph" w:customStyle="1" w:styleId="11">
    <w:name w:val="单元格样式4"/>
    <w:basedOn w:val="1"/>
    <w:qFormat/>
    <w:uiPriority w:val="0"/>
    <w:pPr>
      <w:spacing w:before="0" w:after="0"/>
      <w:ind w:firstLine="0"/>
      <w:jc w:val="righ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12">
    <w:name w:val="单元格样式5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13">
    <w:name w:val="单元格样式2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14">
    <w:name w:val="单元格样式1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15">
    <w:name w:val="单元格样式3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sz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6</TotalTime>
  <ScaleCrop>false</ScaleCrop>
  <LinksUpToDate>false</LinksUpToDate>
  <Application>WPS Office_11.8.2.10229_F1E327BC-269C-435d-A152-05C5408002CA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2026-01-22T00:09:00Z</dcterms:created>
  <dc:creator>kylin</dc:creator>
  <cp:lastModifiedBy>kylin</cp:lastModifiedBy>
  <dcterms:modified xsi:type="dcterms:W3CDTF">2026-02-10T15:45:51Z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