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/>
        <w:jc w:val="left"/>
        <w:outlineLvl w:val="3"/>
      </w:pPr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 xml:space="preserve"> 1</w:t>
      </w:r>
      <w:r>
        <w:rPr>
          <w:rFonts w:ascii="方正仿宋_GBK" w:hAnsi="方正仿宋_GBK" w:eastAsia="方正仿宋_GBK" w:cs="方正仿宋_GBK"/>
          <w:sz w:val="28"/>
        </w:rPr>
        <w:t>.*水政监察综合管理专项经费绩效目标表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370204天津市滨海新区水政监察事务中心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*水政监察综合管理专项经费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800000.00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800000.00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落实中心的综合管理任务，保证办公楼正常运转，保障水行政执法工作顺利展开，及时完成水利工程质量检测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1.落实中心的综合管理任务，保证办公楼正常运转;保障水行政执法工作顺利开展;及时完成水利工程质量检测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租赁/物业管理办公用房面积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租赁/物业管理办公用房面积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1500平方米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检测报告数量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检测报告数量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查处各类水事违法案件完成合格率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查处各类水事违法案件完成合格率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检测质量合格率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检测质量合格率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检测报告的完成时限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检测报告的完成时限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≤80万元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保障单位正常运行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保障单位正常运行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切实保障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改善水环境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改善水环境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切实改善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群众满意度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群众满意度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/>
        <w:ind w:firstLine="560"/>
        <w:jc w:val="left"/>
        <w:outlineLvl w:val="3"/>
      </w:pPr>
      <w:bookmarkStart w:id="0" w:name="_Toc_4_4_0000000052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2</w:t>
      </w:r>
      <w:r>
        <w:rPr>
          <w:rFonts w:ascii="方正仿宋_GBK" w:hAnsi="方正仿宋_GBK" w:eastAsia="方正仿宋_GBK" w:cs="方正仿宋_GBK"/>
          <w:sz w:val="28"/>
        </w:rPr>
        <w:t>.水政监察综合管理专项经费绩效目标表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370204天津市滨海新区水政监察事务中心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200000.00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保障水行政执法工作顺利开展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1.保障水行政执法工作顺利开展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租用执法车辆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租用执法车辆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4辆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2025年12月31日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预算经费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预算经费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pacing w:before="0" w:after="0" w:line="240" w:lineRule="auto"/>
        <w:ind w:firstLine="0"/>
        <w:jc w:val="both"/>
        <w:outlineLvl w:val="9"/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  <w:bookmarkStart w:id="1" w:name="_GoBack"/>
      <w:bookmarkEnd w:id="1"/>
    </w:p>
    <w:p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41BB3F92"/>
    <w:rsid w:val="BEBC7E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54</Pages>
  <TotalTime>0</TotalTime>
  <ScaleCrop>false</ScaleCrop>
  <LinksUpToDate>false</LinksUpToDate>
  <Application>WPS Office_11.8.2.9583_F1E327BC-269C-435d-A152-05C5408002CA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2025-01-21T18:51:00Z</dcterms:created>
  <dc:creator>Dell</dc:creator>
  <cp:lastModifiedBy>刘佳</cp:lastModifiedBy>
  <dcterms:modified xsi:type="dcterms:W3CDTF">2025-02-13T08:36:22Z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70BFD46A27354AEABBB0074E0660C1E3_13</vt:lpwstr>
  </property>
</Properties>
</file>