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0" w:name="_Toc_4_4_0000000004"/>
      <w:r>
        <w:rPr>
          <w:rFonts w:ascii="方正仿宋_GBK" w:hAnsi="方正仿宋_GBK" w:eastAsia="方正仿宋_GBK" w:cs="方正仿宋_GBK"/>
          <w:sz w:val="28"/>
        </w:rPr>
        <w:t>1.*2025年水土保持专项经费绩效目标表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3000000.00</w:t>
            </w:r>
          </w:p>
        </w:tc>
        <w:tc>
          <w:tcPr>
            <w:tcW w:w="1587" w:type="dxa"/>
            <w:vAlign w:val="center"/>
          </w:tcPr>
          <w:p>
            <w:pPr>
              <w:pStyle w:val="14"/>
            </w:pPr>
            <w:r>
              <w:t>其中：财政    资金</w:t>
            </w:r>
          </w:p>
        </w:tc>
        <w:tc>
          <w:tcPr>
            <w:tcW w:w="1843" w:type="dxa"/>
            <w:vAlign w:val="center"/>
          </w:tcPr>
          <w:p>
            <w:pPr>
              <w:pStyle w:val="13"/>
            </w:pPr>
            <w:r>
              <w:t>3000000.00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完成水土流失专项监测，按要求按照水土保持监督检查、验收核查，图斑核查，宣传培训等。推进信息化建设。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1.通过完成生产建设项目水土保持监督检查及水土流失监测工作，提升水土保持监管效能，提高水土保持率。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时效指标</w:t>
            </w:r>
          </w:p>
        </w:tc>
        <w:tc>
          <w:tcPr>
            <w:tcW w:w="1332" w:type="dxa"/>
            <w:vAlign w:val="center"/>
          </w:tcPr>
          <w:p>
            <w:pPr>
              <w:pStyle w:val="13"/>
            </w:pPr>
            <w:r>
              <w:t>项目按期完成时限</w:t>
            </w:r>
          </w:p>
        </w:tc>
        <w:tc>
          <w:tcPr>
            <w:tcW w:w="3430" w:type="dxa"/>
            <w:vAlign w:val="center"/>
          </w:tcPr>
          <w:p>
            <w:pPr>
              <w:pStyle w:val="13"/>
            </w:pPr>
            <w:r>
              <w:t>项目按期完成时限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提交监测文本数量</w:t>
            </w:r>
          </w:p>
        </w:tc>
        <w:tc>
          <w:tcPr>
            <w:tcW w:w="3430" w:type="dxa"/>
            <w:vAlign w:val="center"/>
          </w:tcPr>
          <w:p>
            <w:pPr>
              <w:pStyle w:val="13"/>
            </w:pPr>
            <w:r>
              <w:t>提交监测文本数量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遥感图斑点位核查率</w:t>
            </w:r>
          </w:p>
        </w:tc>
        <w:tc>
          <w:tcPr>
            <w:tcW w:w="3430" w:type="dxa"/>
            <w:vAlign w:val="center"/>
          </w:tcPr>
          <w:p>
            <w:pPr>
              <w:pStyle w:val="13"/>
            </w:pPr>
            <w:r>
              <w:t>遥感图斑点位核查率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专项监测完成率</w:t>
            </w:r>
          </w:p>
        </w:tc>
        <w:tc>
          <w:tcPr>
            <w:tcW w:w="3430" w:type="dxa"/>
            <w:vAlign w:val="center"/>
          </w:tcPr>
          <w:p>
            <w:pPr>
              <w:pStyle w:val="13"/>
            </w:pPr>
            <w:r>
              <w:t>专项监测完成率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遥感图斑点位合格率</w:t>
            </w:r>
          </w:p>
        </w:tc>
        <w:tc>
          <w:tcPr>
            <w:tcW w:w="3430" w:type="dxa"/>
            <w:vAlign w:val="center"/>
          </w:tcPr>
          <w:p>
            <w:pPr>
              <w:pStyle w:val="13"/>
            </w:pPr>
            <w:r>
              <w:t>遥感图斑点位合格率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项目预算控制数</w:t>
            </w:r>
          </w:p>
        </w:tc>
        <w:tc>
          <w:tcPr>
            <w:tcW w:w="3430" w:type="dxa"/>
            <w:vAlign w:val="center"/>
          </w:tcPr>
          <w:p>
            <w:pPr>
              <w:pStyle w:val="13"/>
            </w:pPr>
            <w:r>
              <w:t>项目预算控制数</w:t>
            </w:r>
          </w:p>
        </w:tc>
        <w:tc>
          <w:tcPr>
            <w:tcW w:w="2551" w:type="dxa"/>
            <w:vAlign w:val="center"/>
          </w:tcPr>
          <w:p>
            <w:pPr>
              <w:pStyle w:val="13"/>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防风固沙、涵养水源、保持水土等</w:t>
            </w:r>
          </w:p>
        </w:tc>
        <w:tc>
          <w:tcPr>
            <w:tcW w:w="3430" w:type="dxa"/>
            <w:vAlign w:val="center"/>
          </w:tcPr>
          <w:p>
            <w:pPr>
              <w:pStyle w:val="13"/>
            </w:pPr>
            <w:r>
              <w:t>防风固沙、涵养水源、保持水土等</w:t>
            </w:r>
          </w:p>
        </w:tc>
        <w:tc>
          <w:tcPr>
            <w:tcW w:w="2551" w:type="dxa"/>
            <w:vAlign w:val="center"/>
          </w:tcPr>
          <w:p>
            <w:pPr>
              <w:pStyle w:val="13"/>
            </w:pPr>
            <w:r>
              <w:t>为水土保持工作提供指导和技术支持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职能部门满意度</w:t>
            </w:r>
          </w:p>
        </w:tc>
        <w:tc>
          <w:tcPr>
            <w:tcW w:w="3430" w:type="dxa"/>
            <w:vAlign w:val="center"/>
          </w:tcPr>
          <w:p>
            <w:pPr>
              <w:pStyle w:val="13"/>
            </w:pPr>
            <w:r>
              <w:t>职能部门满意度</w:t>
            </w:r>
          </w:p>
        </w:tc>
        <w:tc>
          <w:tcPr>
            <w:tcW w:w="2551" w:type="dxa"/>
            <w:vAlign w:val="center"/>
          </w:tcPr>
          <w:p>
            <w:pPr>
              <w:pStyle w:val="13"/>
            </w:pPr>
            <w:r>
              <w:t>100%</w:t>
            </w:r>
          </w:p>
        </w:tc>
      </w:tr>
    </w:tbl>
    <w:p>
      <w:pPr>
        <w:sectPr>
          <w:footerReference r:id="rId3" w:type="default"/>
          <w:footerReference r:id="rId4" w:type="even"/>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 w:name="_Toc_4_4_0000000005"/>
      <w:r>
        <w:rPr>
          <w:rFonts w:ascii="方正仿宋_GBK" w:hAnsi="方正仿宋_GBK" w:eastAsia="方正仿宋_GBK" w:cs="方正仿宋_GBK"/>
          <w:sz w:val="28"/>
        </w:rPr>
        <w:t>2.*2025年水务综合管理专项经费绩效目标表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*2025年水务综合管理专项经费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10000000.00</w:t>
            </w:r>
          </w:p>
        </w:tc>
        <w:tc>
          <w:tcPr>
            <w:tcW w:w="1587" w:type="dxa"/>
            <w:vAlign w:val="center"/>
          </w:tcPr>
          <w:p>
            <w:pPr>
              <w:pStyle w:val="14"/>
            </w:pPr>
            <w:r>
              <w:t>其中：财政    资金</w:t>
            </w:r>
          </w:p>
        </w:tc>
        <w:tc>
          <w:tcPr>
            <w:tcW w:w="1843" w:type="dxa"/>
            <w:vAlign w:val="center"/>
          </w:tcPr>
          <w:p>
            <w:pPr>
              <w:pStyle w:val="13"/>
            </w:pPr>
            <w:r>
              <w:t>10000000.00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用于开展水务综合管理工作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所属单位进行资产清查审计，完善内控制度，维护公文系统正常流转，开展水务系统安全生产巡查、考核、档案管理、法律服务等工作，保障部门正常运转，提升综合管理水平；通过完成河湖蓝线编制、管理范围划定、防汛应急指挥系统运维、一河一策编制、河湖管理宣传等工作，提升新区河湖管理工作水平；通过完成再生水规划编制、节水信息系统运维，取水在线计量设施运维及监控平台升级、多维立体地面沉降监测等项目，提升水资源工作管理水平；通过评审污水处理、排水运维等项目的合理结算价格，对农村、城镇污水处理污泥处置设施运维监管、检测，编制排水及污水处理行业专项规划、实施方案等，提升行业管理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开展水务综合管理项目数量</w:t>
            </w:r>
          </w:p>
        </w:tc>
        <w:tc>
          <w:tcPr>
            <w:tcW w:w="3430" w:type="dxa"/>
            <w:vAlign w:val="center"/>
          </w:tcPr>
          <w:p>
            <w:pPr>
              <w:pStyle w:val="13"/>
            </w:pPr>
            <w:r>
              <w:t>开展水务综合管理项目数量</w:t>
            </w:r>
          </w:p>
        </w:tc>
        <w:tc>
          <w:tcPr>
            <w:tcW w:w="2551" w:type="dxa"/>
            <w:vAlign w:val="center"/>
          </w:tcPr>
          <w:p>
            <w:pPr>
              <w:pStyle w:val="13"/>
            </w:pPr>
            <w:r>
              <w:t>≥8个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项目验收合格率</w:t>
            </w:r>
          </w:p>
        </w:tc>
        <w:tc>
          <w:tcPr>
            <w:tcW w:w="3430" w:type="dxa"/>
            <w:vAlign w:val="center"/>
          </w:tcPr>
          <w:p>
            <w:pPr>
              <w:pStyle w:val="13"/>
            </w:pPr>
            <w:r>
              <w:t>项目验收合格率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系统正常运转率</w:t>
            </w:r>
          </w:p>
        </w:tc>
        <w:tc>
          <w:tcPr>
            <w:tcW w:w="3430" w:type="dxa"/>
            <w:vAlign w:val="center"/>
          </w:tcPr>
          <w:p>
            <w:pPr>
              <w:pStyle w:val="13"/>
            </w:pPr>
            <w:r>
              <w:t>系统正常运转率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项目完工时间</w:t>
            </w:r>
          </w:p>
        </w:tc>
        <w:tc>
          <w:tcPr>
            <w:tcW w:w="3430" w:type="dxa"/>
            <w:vAlign w:val="center"/>
          </w:tcPr>
          <w:p>
            <w:pPr>
              <w:pStyle w:val="13"/>
            </w:pPr>
            <w:r>
              <w:t>项目完工时间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项目资金成本</w:t>
            </w:r>
          </w:p>
        </w:tc>
        <w:tc>
          <w:tcPr>
            <w:tcW w:w="3430" w:type="dxa"/>
            <w:vAlign w:val="center"/>
          </w:tcPr>
          <w:p>
            <w:pPr>
              <w:pStyle w:val="13"/>
            </w:pPr>
            <w:r>
              <w:t>项目资金成本</w:t>
            </w:r>
          </w:p>
        </w:tc>
        <w:tc>
          <w:tcPr>
            <w:tcW w:w="2551" w:type="dxa"/>
            <w:vAlign w:val="center"/>
          </w:tcPr>
          <w:p>
            <w:pPr>
              <w:pStyle w:val="13"/>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提高水环境质量</w:t>
            </w:r>
          </w:p>
        </w:tc>
        <w:tc>
          <w:tcPr>
            <w:tcW w:w="3430" w:type="dxa"/>
            <w:vAlign w:val="center"/>
          </w:tcPr>
          <w:p>
            <w:pPr>
              <w:pStyle w:val="13"/>
            </w:pPr>
            <w:r>
              <w:t>提高水环境质量</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达到控沉防治效果</w:t>
            </w:r>
          </w:p>
        </w:tc>
        <w:tc>
          <w:tcPr>
            <w:tcW w:w="3430" w:type="dxa"/>
            <w:vAlign w:val="center"/>
          </w:tcPr>
          <w:p>
            <w:pPr>
              <w:pStyle w:val="13"/>
            </w:pPr>
            <w:r>
              <w:t>达到控沉防治效果</w:t>
            </w:r>
          </w:p>
        </w:tc>
        <w:tc>
          <w:tcPr>
            <w:tcW w:w="2551" w:type="dxa"/>
            <w:vAlign w:val="center"/>
          </w:tcPr>
          <w:p>
            <w:pPr>
              <w:pStyle w:val="13"/>
            </w:pPr>
            <w:r>
              <w:t>切实有效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保障节水信息系统正常运转</w:t>
            </w:r>
          </w:p>
        </w:tc>
        <w:tc>
          <w:tcPr>
            <w:tcW w:w="3430" w:type="dxa"/>
            <w:vAlign w:val="center"/>
          </w:tcPr>
          <w:p>
            <w:pPr>
              <w:pStyle w:val="13"/>
            </w:pPr>
            <w:r>
              <w:t>保障节水信息系统正常运转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保障排水及污水处理设施安全运行</w:t>
            </w:r>
          </w:p>
        </w:tc>
        <w:tc>
          <w:tcPr>
            <w:tcW w:w="3430" w:type="dxa"/>
            <w:vAlign w:val="center"/>
          </w:tcPr>
          <w:p>
            <w:pPr>
              <w:pStyle w:val="13"/>
            </w:pPr>
            <w:r>
              <w:t>保障排水及污水处理设施安全运行</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保障部门正常运转</w:t>
            </w:r>
          </w:p>
        </w:tc>
        <w:tc>
          <w:tcPr>
            <w:tcW w:w="3430" w:type="dxa"/>
            <w:vAlign w:val="center"/>
          </w:tcPr>
          <w:p>
            <w:pPr>
              <w:pStyle w:val="13"/>
            </w:pPr>
            <w:r>
              <w:t>保障部门正常运转</w:t>
            </w:r>
          </w:p>
        </w:tc>
        <w:tc>
          <w:tcPr>
            <w:tcW w:w="2551" w:type="dxa"/>
            <w:vAlign w:val="center"/>
          </w:tcPr>
          <w:p>
            <w:pPr>
              <w:pStyle w:val="13"/>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系统使用人员满意度</w:t>
            </w:r>
          </w:p>
        </w:tc>
        <w:tc>
          <w:tcPr>
            <w:tcW w:w="3430" w:type="dxa"/>
            <w:vAlign w:val="center"/>
          </w:tcPr>
          <w:p>
            <w:pPr>
              <w:pStyle w:val="13"/>
            </w:pPr>
            <w:r>
              <w:t>系统使用人员满意度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 w:name="_Toc_4_4_0000000006"/>
      <w:r>
        <w:rPr>
          <w:rFonts w:ascii="方正仿宋_GBK" w:hAnsi="方正仿宋_GBK" w:eastAsia="方正仿宋_GBK" w:cs="方正仿宋_GBK"/>
          <w:sz w:val="28"/>
        </w:rPr>
        <w:t>3.2025年大中型水库农村移民扶持直补资金绩效目标表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2025年大中型水库农村移民扶持直补资金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32400.00</w:t>
            </w:r>
          </w:p>
        </w:tc>
        <w:tc>
          <w:tcPr>
            <w:tcW w:w="1587" w:type="dxa"/>
            <w:vAlign w:val="center"/>
          </w:tcPr>
          <w:p>
            <w:pPr>
              <w:pStyle w:val="14"/>
            </w:pPr>
            <w:r>
              <w:t>其中：财政    资金</w:t>
            </w:r>
          </w:p>
        </w:tc>
        <w:tc>
          <w:tcPr>
            <w:tcW w:w="1843" w:type="dxa"/>
            <w:vAlign w:val="center"/>
          </w:tcPr>
          <w:p>
            <w:pPr>
              <w:pStyle w:val="13"/>
            </w:pPr>
            <w:r>
              <w:t>32400.00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完成库区移民补助资金的发放，移民满意度达到90%以上。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1.及时完成库区移民补助资金的发放，移民满意度达到90%以上。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扶持人口</w:t>
            </w:r>
          </w:p>
        </w:tc>
        <w:tc>
          <w:tcPr>
            <w:tcW w:w="3430" w:type="dxa"/>
            <w:vAlign w:val="center"/>
          </w:tcPr>
          <w:p>
            <w:pPr>
              <w:pStyle w:val="13"/>
            </w:pPr>
            <w:r>
              <w:t>扶持人口</w:t>
            </w:r>
          </w:p>
        </w:tc>
        <w:tc>
          <w:tcPr>
            <w:tcW w:w="2551" w:type="dxa"/>
            <w:vAlign w:val="center"/>
          </w:tcPr>
          <w:p>
            <w:pPr>
              <w:pStyle w:val="13"/>
            </w:pPr>
            <w:r>
              <w:t>≥54人次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扶持资金到位率</w:t>
            </w:r>
          </w:p>
        </w:tc>
        <w:tc>
          <w:tcPr>
            <w:tcW w:w="3430" w:type="dxa"/>
            <w:vAlign w:val="center"/>
          </w:tcPr>
          <w:p>
            <w:pPr>
              <w:pStyle w:val="13"/>
            </w:pPr>
            <w:r>
              <w:t>扶持资金到位率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计划完成时限</w:t>
            </w:r>
          </w:p>
        </w:tc>
        <w:tc>
          <w:tcPr>
            <w:tcW w:w="3430" w:type="dxa"/>
            <w:vAlign w:val="center"/>
          </w:tcPr>
          <w:p>
            <w:pPr>
              <w:pStyle w:val="13"/>
            </w:pPr>
            <w:r>
              <w:t>计划完成时限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扶持资金预计单项人均</w:t>
            </w:r>
          </w:p>
        </w:tc>
        <w:tc>
          <w:tcPr>
            <w:tcW w:w="3430" w:type="dxa"/>
            <w:vAlign w:val="center"/>
          </w:tcPr>
          <w:p>
            <w:pPr>
              <w:pStyle w:val="13"/>
            </w:pPr>
            <w:r>
              <w:t>扶持资金预计单项人均</w:t>
            </w:r>
          </w:p>
        </w:tc>
        <w:tc>
          <w:tcPr>
            <w:tcW w:w="2551" w:type="dxa"/>
            <w:vAlign w:val="center"/>
          </w:tcPr>
          <w:p>
            <w:pPr>
              <w:pStyle w:val="13"/>
            </w:pPr>
            <w:r>
              <w:t>600元/人/年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提高移民生活水平</w:t>
            </w:r>
          </w:p>
        </w:tc>
        <w:tc>
          <w:tcPr>
            <w:tcW w:w="3430" w:type="dxa"/>
            <w:vAlign w:val="center"/>
          </w:tcPr>
          <w:p>
            <w:pPr>
              <w:pStyle w:val="13"/>
            </w:pPr>
            <w:r>
              <w:t>提高移民生活水平</w:t>
            </w:r>
          </w:p>
        </w:tc>
        <w:tc>
          <w:tcPr>
            <w:tcW w:w="2551" w:type="dxa"/>
            <w:vAlign w:val="center"/>
          </w:tcPr>
          <w:p>
            <w:pPr>
              <w:pStyle w:val="13"/>
            </w:pPr>
            <w:r>
              <w:t>有所提高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受扶持人口满意度</w:t>
            </w:r>
          </w:p>
        </w:tc>
        <w:tc>
          <w:tcPr>
            <w:tcW w:w="3430" w:type="dxa"/>
            <w:vAlign w:val="center"/>
          </w:tcPr>
          <w:p>
            <w:pPr>
              <w:pStyle w:val="13"/>
            </w:pPr>
            <w:r>
              <w:t>受扶持人口满意度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7"/>
      <w:r>
        <w:rPr>
          <w:rFonts w:ascii="方正仿宋_GBK" w:hAnsi="方正仿宋_GBK" w:eastAsia="方正仿宋_GBK" w:cs="方正仿宋_GBK"/>
          <w:sz w:val="28"/>
        </w:rPr>
        <w:t>4.2025年农业水价综合改革绩效目标表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2025年农业水价综合改革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100000.00</w:t>
            </w:r>
          </w:p>
        </w:tc>
        <w:tc>
          <w:tcPr>
            <w:tcW w:w="1587" w:type="dxa"/>
            <w:vAlign w:val="center"/>
          </w:tcPr>
          <w:p>
            <w:pPr>
              <w:pStyle w:val="14"/>
            </w:pPr>
            <w:r>
              <w:t>其中：财政    资金</w:t>
            </w:r>
          </w:p>
        </w:tc>
        <w:tc>
          <w:tcPr>
            <w:tcW w:w="1843" w:type="dxa"/>
            <w:vAlign w:val="center"/>
          </w:tcPr>
          <w:p>
            <w:pPr>
              <w:pStyle w:val="13"/>
            </w:pPr>
            <w:r>
              <w:t>100000.00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完成农业水价综合改革试点村计量设施安装，输水管道、泵房改造。</w:t>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1.完成农业水价综合改革试点村计量设施安装，输水管道、泵房改造，提升节水能力。</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安装计量水表</w:t>
            </w:r>
          </w:p>
        </w:tc>
        <w:tc>
          <w:tcPr>
            <w:tcW w:w="3430" w:type="dxa"/>
            <w:vAlign w:val="center"/>
          </w:tcPr>
          <w:p>
            <w:pPr>
              <w:pStyle w:val="13"/>
            </w:pPr>
            <w:r>
              <w:t>安装计量水表</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安装验收合格率</w:t>
            </w:r>
          </w:p>
        </w:tc>
        <w:tc>
          <w:tcPr>
            <w:tcW w:w="3430" w:type="dxa"/>
            <w:vAlign w:val="center"/>
          </w:tcPr>
          <w:p>
            <w:pPr>
              <w:pStyle w:val="13"/>
            </w:pPr>
            <w:r>
              <w:t>安装验收合格率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安装完工时间</w:t>
            </w:r>
          </w:p>
        </w:tc>
        <w:tc>
          <w:tcPr>
            <w:tcW w:w="3430" w:type="dxa"/>
            <w:vAlign w:val="center"/>
          </w:tcPr>
          <w:p>
            <w:pPr>
              <w:pStyle w:val="13"/>
            </w:pPr>
            <w:r>
              <w:t>安装完工时间</w:t>
            </w:r>
          </w:p>
        </w:tc>
        <w:tc>
          <w:tcPr>
            <w:tcW w:w="2551" w:type="dxa"/>
            <w:vAlign w:val="center"/>
          </w:tcPr>
          <w:p>
            <w:pPr>
              <w:pStyle w:val="13"/>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水表成本</w:t>
            </w:r>
          </w:p>
        </w:tc>
        <w:tc>
          <w:tcPr>
            <w:tcW w:w="3430" w:type="dxa"/>
            <w:vAlign w:val="center"/>
          </w:tcPr>
          <w:p>
            <w:pPr>
              <w:pStyle w:val="13"/>
            </w:pPr>
            <w:r>
              <w:t>水表成本</w:t>
            </w:r>
          </w:p>
        </w:tc>
        <w:tc>
          <w:tcPr>
            <w:tcW w:w="2551" w:type="dxa"/>
            <w:vAlign w:val="center"/>
          </w:tcPr>
          <w:p>
            <w:pPr>
              <w:pStyle w:val="13"/>
            </w:pPr>
            <w:r>
              <w:t>≤10万元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年新增节水能力</w:t>
            </w:r>
          </w:p>
        </w:tc>
        <w:tc>
          <w:tcPr>
            <w:tcW w:w="3430" w:type="dxa"/>
            <w:vAlign w:val="center"/>
          </w:tcPr>
          <w:p>
            <w:pPr>
              <w:pStyle w:val="13"/>
            </w:pPr>
            <w:r>
              <w:t>年新增节水能力</w:t>
            </w:r>
          </w:p>
        </w:tc>
        <w:tc>
          <w:tcPr>
            <w:tcW w:w="2551" w:type="dxa"/>
            <w:vAlign w:val="center"/>
          </w:tcPr>
          <w:p>
            <w:pPr>
              <w:pStyle w:val="13"/>
            </w:pPr>
            <w:r>
              <w:t>≥5000立方米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8"/>
      <w:r>
        <w:rPr>
          <w:rFonts w:ascii="方正仿宋_GBK" w:hAnsi="方正仿宋_GBK" w:eastAsia="方正仿宋_GBK" w:cs="方正仿宋_GBK"/>
          <w:sz w:val="28"/>
        </w:rPr>
        <w:t>5.2025年水务局历年工程项目资金绩效目标表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2025年水务局历年工程项目资金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1679687.00</w:t>
            </w:r>
          </w:p>
        </w:tc>
        <w:tc>
          <w:tcPr>
            <w:tcW w:w="1587" w:type="dxa"/>
            <w:vAlign w:val="center"/>
          </w:tcPr>
          <w:p>
            <w:pPr>
              <w:pStyle w:val="14"/>
            </w:pPr>
            <w:r>
              <w:t>其中：财政    资金</w:t>
            </w:r>
          </w:p>
        </w:tc>
        <w:tc>
          <w:tcPr>
            <w:tcW w:w="1843" w:type="dxa"/>
            <w:vAlign w:val="center"/>
          </w:tcPr>
          <w:p>
            <w:pPr>
              <w:pStyle w:val="13"/>
            </w:pPr>
            <w:r>
              <w:t>1679687.00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支付水务局历年工程项目款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1.通过对京山铁路至津塘公路段黑潴河两岸进行整治，改善河道两岸环境，提升周边居民环境体验</w:t>
            </w:r>
          </w:p>
          <w:p>
            <w:pPr>
              <w:pStyle w:val="13"/>
            </w:pPr>
            <w:r>
              <w:t>2.通过完成工程建设，解决村民饮水安全问题，同步压采地下水</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整治面积</w:t>
            </w:r>
          </w:p>
        </w:tc>
        <w:tc>
          <w:tcPr>
            <w:tcW w:w="3430" w:type="dxa"/>
            <w:vAlign w:val="center"/>
          </w:tcPr>
          <w:p>
            <w:pPr>
              <w:pStyle w:val="13"/>
            </w:pPr>
            <w:r>
              <w:t>整治面积</w:t>
            </w:r>
          </w:p>
        </w:tc>
        <w:tc>
          <w:tcPr>
            <w:tcW w:w="2551" w:type="dxa"/>
            <w:vAlign w:val="center"/>
          </w:tcPr>
          <w:p>
            <w:pPr>
              <w:pStyle w:val="13"/>
            </w:pPr>
            <w:r>
              <w:t>11938平方米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工程验收质量</w:t>
            </w:r>
          </w:p>
        </w:tc>
        <w:tc>
          <w:tcPr>
            <w:tcW w:w="3430" w:type="dxa"/>
            <w:vAlign w:val="center"/>
          </w:tcPr>
          <w:p>
            <w:pPr>
              <w:pStyle w:val="13"/>
            </w:pPr>
            <w:r>
              <w:t>工程验收质量</w:t>
            </w:r>
          </w:p>
        </w:tc>
        <w:tc>
          <w:tcPr>
            <w:tcW w:w="2551" w:type="dxa"/>
            <w:vAlign w:val="center"/>
          </w:tcPr>
          <w:p>
            <w:pPr>
              <w:pStyle w:val="13"/>
            </w:pPr>
            <w:r>
              <w:t>合格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工程完工时限</w:t>
            </w:r>
          </w:p>
        </w:tc>
        <w:tc>
          <w:tcPr>
            <w:tcW w:w="3430" w:type="dxa"/>
            <w:vAlign w:val="center"/>
          </w:tcPr>
          <w:p>
            <w:pPr>
              <w:pStyle w:val="13"/>
            </w:pPr>
            <w:r>
              <w:t>工程完工时限</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工程建设费用</w:t>
            </w:r>
          </w:p>
        </w:tc>
        <w:tc>
          <w:tcPr>
            <w:tcW w:w="3430" w:type="dxa"/>
            <w:vAlign w:val="center"/>
          </w:tcPr>
          <w:p>
            <w:pPr>
              <w:pStyle w:val="13"/>
            </w:pPr>
            <w:r>
              <w:t>工程建设费用</w:t>
            </w:r>
          </w:p>
        </w:tc>
        <w:tc>
          <w:tcPr>
            <w:tcW w:w="2551" w:type="dxa"/>
            <w:vAlign w:val="center"/>
          </w:tcPr>
          <w:p>
            <w:pPr>
              <w:pStyle w:val="13"/>
            </w:pPr>
            <w:r>
              <w:t>≤167.96万元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改善区域环境问题</w:t>
            </w:r>
          </w:p>
        </w:tc>
        <w:tc>
          <w:tcPr>
            <w:tcW w:w="3430" w:type="dxa"/>
            <w:vAlign w:val="center"/>
          </w:tcPr>
          <w:p>
            <w:pPr>
              <w:pStyle w:val="13"/>
            </w:pPr>
            <w:r>
              <w:t>改善区域环境问题</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改善村民饮水水质</w:t>
            </w:r>
          </w:p>
        </w:tc>
        <w:tc>
          <w:tcPr>
            <w:tcW w:w="3430" w:type="dxa"/>
            <w:vAlign w:val="center"/>
          </w:tcPr>
          <w:p>
            <w:pPr>
              <w:pStyle w:val="13"/>
            </w:pPr>
            <w:r>
              <w:t>改善村民饮水水质</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9"/>
      <w:r>
        <w:rPr>
          <w:rFonts w:ascii="方正仿宋_GBK" w:hAnsi="方正仿宋_GBK" w:eastAsia="方正仿宋_GBK" w:cs="方正仿宋_GBK"/>
          <w:sz w:val="28"/>
        </w:rPr>
        <w:t>6.2025年一般债券付息支出（农业农村）绩效目标表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2025年一般债券付息支出（农业农村）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59087442.83</w:t>
            </w:r>
          </w:p>
        </w:tc>
        <w:tc>
          <w:tcPr>
            <w:tcW w:w="1587" w:type="dxa"/>
            <w:vAlign w:val="center"/>
          </w:tcPr>
          <w:p>
            <w:pPr>
              <w:pStyle w:val="14"/>
            </w:pPr>
            <w:r>
              <w:t>其中：财政    资金</w:t>
            </w:r>
          </w:p>
        </w:tc>
        <w:tc>
          <w:tcPr>
            <w:tcW w:w="1843" w:type="dxa"/>
            <w:vAlign w:val="center"/>
          </w:tcPr>
          <w:p>
            <w:pPr>
              <w:pStyle w:val="13"/>
            </w:pPr>
            <w:r>
              <w:t>59087442.83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通过按时偿还区水务局2025年一般债券利息，保障债权人权利，保障项目顺利进行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1.通过按时偿还区水务局2025年一般债券利息，保障债权人权利，保障项目顺利进行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≤5908.75万元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10"/>
      <w:r>
        <w:rPr>
          <w:rFonts w:ascii="方正仿宋_GBK" w:hAnsi="方正仿宋_GBK" w:eastAsia="方正仿宋_GBK" w:cs="方正仿宋_GBK"/>
          <w:sz w:val="28"/>
        </w:rPr>
        <w:t>7.2025年专项债券付息支出（农业农村）绩效目标表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2025年专项债券付息支出（农业农村）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90731351.77</w:t>
            </w:r>
          </w:p>
        </w:tc>
        <w:tc>
          <w:tcPr>
            <w:tcW w:w="1587" w:type="dxa"/>
            <w:vAlign w:val="center"/>
          </w:tcPr>
          <w:p>
            <w:pPr>
              <w:pStyle w:val="14"/>
            </w:pPr>
            <w:r>
              <w:t>其中：财政    资金</w:t>
            </w:r>
          </w:p>
        </w:tc>
        <w:tc>
          <w:tcPr>
            <w:tcW w:w="1843" w:type="dxa"/>
            <w:vAlign w:val="center"/>
          </w:tcPr>
          <w:p>
            <w:pPr>
              <w:pStyle w:val="13"/>
            </w:pPr>
            <w:r>
              <w:t>90731351.77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通过按时偿还区水务局2025年专项债券利息，保障债权人权利，保障项目顺利进行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1.通过按时偿还区水务局2025年专项债券利息，保障债权人权利，保障项目顺利进行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≤9073.14万元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11"/>
      <w:r>
        <w:rPr>
          <w:rFonts w:ascii="方正仿宋_GBK" w:hAnsi="方正仿宋_GBK" w:eastAsia="方正仿宋_GBK" w:cs="方正仿宋_GBK"/>
          <w:sz w:val="28"/>
        </w:rPr>
        <w:t>8.滨海新区塘沽片区公共供水管网漏损治理工程绩效目标表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滨海新区塘沽片区公共供水管网漏损治理工程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50000000.00</w:t>
            </w:r>
          </w:p>
        </w:tc>
        <w:tc>
          <w:tcPr>
            <w:tcW w:w="1587" w:type="dxa"/>
            <w:vAlign w:val="center"/>
          </w:tcPr>
          <w:p>
            <w:pPr>
              <w:pStyle w:val="14"/>
            </w:pPr>
            <w:r>
              <w:t>其中：财政    资金</w:t>
            </w:r>
          </w:p>
        </w:tc>
        <w:tc>
          <w:tcPr>
            <w:tcW w:w="1843" w:type="dxa"/>
            <w:vAlign w:val="center"/>
          </w:tcPr>
          <w:p>
            <w:pPr>
              <w:pStyle w:val="13"/>
            </w:pPr>
            <w:r>
              <w:t>50000000.00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通过完成塘沽片区公共管网治理工程，降低二次供水漏损率，提高供水效能。</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1.通过完成塘沽片区公共管网治理工程，降低二次供水漏损率，提高供水效能。</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改造小区数量</w:t>
            </w:r>
          </w:p>
        </w:tc>
        <w:tc>
          <w:tcPr>
            <w:tcW w:w="3430" w:type="dxa"/>
            <w:vAlign w:val="center"/>
          </w:tcPr>
          <w:p>
            <w:pPr>
              <w:pStyle w:val="13"/>
            </w:pPr>
            <w:r>
              <w:t>改造小区数量</w:t>
            </w:r>
          </w:p>
        </w:tc>
        <w:tc>
          <w:tcPr>
            <w:tcW w:w="2551" w:type="dxa"/>
            <w:vAlign w:val="center"/>
          </w:tcPr>
          <w:p>
            <w:pPr>
              <w:pStyle w:val="13"/>
            </w:pPr>
            <w:r>
              <w:t>≥185个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二次供水漏损率</w:t>
            </w:r>
          </w:p>
        </w:tc>
        <w:tc>
          <w:tcPr>
            <w:tcW w:w="3430" w:type="dxa"/>
            <w:vAlign w:val="center"/>
          </w:tcPr>
          <w:p>
            <w:pPr>
              <w:pStyle w:val="13"/>
            </w:pPr>
            <w:r>
              <w:t>二次供水漏损率</w:t>
            </w:r>
          </w:p>
        </w:tc>
        <w:tc>
          <w:tcPr>
            <w:tcW w:w="2551" w:type="dxa"/>
            <w:vAlign w:val="center"/>
          </w:tcPr>
          <w:p>
            <w:pPr>
              <w:pStyle w:val="13"/>
            </w:pPr>
            <w: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工程按时验收</w:t>
            </w:r>
          </w:p>
        </w:tc>
        <w:tc>
          <w:tcPr>
            <w:tcW w:w="3430" w:type="dxa"/>
            <w:vAlign w:val="center"/>
          </w:tcPr>
          <w:p>
            <w:pPr>
              <w:pStyle w:val="13"/>
            </w:pPr>
            <w:r>
              <w:t>工程按时验收</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管网治理费用</w:t>
            </w:r>
          </w:p>
        </w:tc>
        <w:tc>
          <w:tcPr>
            <w:tcW w:w="3430" w:type="dxa"/>
            <w:vAlign w:val="center"/>
          </w:tcPr>
          <w:p>
            <w:pPr>
              <w:pStyle w:val="13"/>
            </w:pPr>
            <w:r>
              <w:t>管网治理费用</w:t>
            </w:r>
          </w:p>
        </w:tc>
        <w:tc>
          <w:tcPr>
            <w:tcW w:w="2551" w:type="dxa"/>
            <w:vAlign w:val="center"/>
          </w:tcPr>
          <w:p>
            <w:pPr>
              <w:pStyle w:val="13"/>
            </w:pPr>
            <w:r>
              <w:t>≤5000万元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满足二次供水系统正常运行</w:t>
            </w:r>
          </w:p>
        </w:tc>
        <w:tc>
          <w:tcPr>
            <w:tcW w:w="3430" w:type="dxa"/>
            <w:vAlign w:val="center"/>
          </w:tcPr>
          <w:p>
            <w:pPr>
              <w:pStyle w:val="13"/>
            </w:pPr>
            <w:r>
              <w:t>满足二次供水系统正常运行</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12"/>
      <w:r>
        <w:rPr>
          <w:rFonts w:ascii="方正仿宋_GBK" w:hAnsi="方正仿宋_GBK" w:eastAsia="方正仿宋_GBK" w:cs="方正仿宋_GBK"/>
          <w:sz w:val="28"/>
        </w:rPr>
        <w:t>9.农村供水管网改造项目绩效目标表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农村供水管网改造项目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308149.80</w:t>
            </w:r>
          </w:p>
        </w:tc>
        <w:tc>
          <w:tcPr>
            <w:tcW w:w="1587" w:type="dxa"/>
            <w:vAlign w:val="center"/>
          </w:tcPr>
          <w:p>
            <w:pPr>
              <w:pStyle w:val="14"/>
            </w:pPr>
            <w:r>
              <w:t>其中：财政    资金</w:t>
            </w:r>
          </w:p>
        </w:tc>
        <w:tc>
          <w:tcPr>
            <w:tcW w:w="1843" w:type="dxa"/>
            <w:vAlign w:val="center"/>
          </w:tcPr>
          <w:p>
            <w:pPr>
              <w:pStyle w:val="13"/>
            </w:pPr>
            <w:r>
              <w:t>308149.80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通过保证崔庄村、留庄村正常供水，保障村民正常生活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1.通过保证崔庄村、留庄村正常供水，保障村民正常生活</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全街涉及村数</w:t>
            </w:r>
          </w:p>
        </w:tc>
        <w:tc>
          <w:tcPr>
            <w:tcW w:w="3430" w:type="dxa"/>
            <w:vAlign w:val="center"/>
          </w:tcPr>
          <w:p>
            <w:pPr>
              <w:pStyle w:val="13"/>
            </w:pPr>
            <w:r>
              <w:t>全街涉及村数</w:t>
            </w:r>
          </w:p>
        </w:tc>
        <w:tc>
          <w:tcPr>
            <w:tcW w:w="2551" w:type="dxa"/>
            <w:vAlign w:val="center"/>
          </w:tcPr>
          <w:p>
            <w:pPr>
              <w:pStyle w:val="13"/>
            </w:pPr>
            <w:r>
              <w:t>2个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保证供水率</w:t>
            </w:r>
          </w:p>
        </w:tc>
        <w:tc>
          <w:tcPr>
            <w:tcW w:w="3430" w:type="dxa"/>
            <w:vAlign w:val="center"/>
          </w:tcPr>
          <w:p>
            <w:pPr>
              <w:pStyle w:val="13"/>
            </w:pPr>
            <w:r>
              <w:t>保证供水率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供水维护保障周期</w:t>
            </w:r>
          </w:p>
        </w:tc>
        <w:tc>
          <w:tcPr>
            <w:tcW w:w="3430" w:type="dxa"/>
            <w:vAlign w:val="center"/>
          </w:tcPr>
          <w:p>
            <w:pPr>
              <w:pStyle w:val="13"/>
            </w:pPr>
            <w:r>
              <w:t>供水维护保障周期</w:t>
            </w:r>
          </w:p>
        </w:tc>
        <w:tc>
          <w:tcPr>
            <w:tcW w:w="2551" w:type="dxa"/>
            <w:vAlign w:val="center"/>
          </w:tcPr>
          <w:p>
            <w:pPr>
              <w:pStyle w:val="13"/>
            </w:pPr>
            <w:r>
              <w:t>2025年1月至12月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供水维护费用</w:t>
            </w:r>
          </w:p>
        </w:tc>
        <w:tc>
          <w:tcPr>
            <w:tcW w:w="3430" w:type="dxa"/>
            <w:vAlign w:val="center"/>
          </w:tcPr>
          <w:p>
            <w:pPr>
              <w:pStyle w:val="13"/>
            </w:pPr>
            <w:r>
              <w:t>供水维护费用</w:t>
            </w:r>
          </w:p>
        </w:tc>
        <w:tc>
          <w:tcPr>
            <w:tcW w:w="2551" w:type="dxa"/>
            <w:vAlign w:val="center"/>
          </w:tcPr>
          <w:p>
            <w:pPr>
              <w:pStyle w:val="13"/>
            </w:pPr>
            <w:r>
              <w:t>≤30.81万元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保证崔庄、留庄正常生活用水</w:t>
            </w:r>
          </w:p>
        </w:tc>
        <w:tc>
          <w:tcPr>
            <w:tcW w:w="3430" w:type="dxa"/>
            <w:vAlign w:val="center"/>
          </w:tcPr>
          <w:p>
            <w:pPr>
              <w:pStyle w:val="13"/>
            </w:pPr>
            <w:r>
              <w:t>保证崔庄、留庄正常生活用水</w:t>
            </w:r>
          </w:p>
        </w:tc>
        <w:tc>
          <w:tcPr>
            <w:tcW w:w="2551" w:type="dxa"/>
            <w:vAlign w:val="center"/>
          </w:tcPr>
          <w:p>
            <w:pPr>
              <w:pStyle w:val="13"/>
            </w:pPr>
            <w:r>
              <w:t>保证村民正常生活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3"/>
      <w:r>
        <w:rPr>
          <w:rFonts w:ascii="方正仿宋_GBK" w:hAnsi="方正仿宋_GBK" w:eastAsia="方正仿宋_GBK" w:cs="方正仿宋_GBK"/>
          <w:sz w:val="28"/>
        </w:rPr>
        <w:t>10.天津市财政局关于提前下达2024年中央企业独立工矿区市政社区等办社会职能运营补助资金预算的通知（津财资指[2023]13号）绩效目标表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天津市财政局关于提前下达2024年中央企业独立工矿区市政社区等办社会职能运营补助资金预算的通知（津财资指[2023]13号）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650000.00</w:t>
            </w:r>
          </w:p>
        </w:tc>
        <w:tc>
          <w:tcPr>
            <w:tcW w:w="1587" w:type="dxa"/>
            <w:vAlign w:val="center"/>
          </w:tcPr>
          <w:p>
            <w:pPr>
              <w:pStyle w:val="14"/>
            </w:pPr>
            <w:r>
              <w:t>其中：财政    资金</w:t>
            </w:r>
          </w:p>
        </w:tc>
        <w:tc>
          <w:tcPr>
            <w:tcW w:w="1843" w:type="dxa"/>
            <w:vAlign w:val="center"/>
          </w:tcPr>
          <w:p>
            <w:pPr>
              <w:pStyle w:val="13"/>
            </w:pPr>
            <w:r>
              <w:t>650000.00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对市政泵站、排水管网等设施进行日常维护、应急抢修，保障排水设施正常进行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1.对市政泵站、排水管网等设施进行日常维护、应急抢修，保障排水设施正常进行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维护排水管网长度</w:t>
            </w:r>
          </w:p>
        </w:tc>
        <w:tc>
          <w:tcPr>
            <w:tcW w:w="3430" w:type="dxa"/>
            <w:vAlign w:val="center"/>
          </w:tcPr>
          <w:p>
            <w:pPr>
              <w:pStyle w:val="13"/>
            </w:pPr>
            <w:r>
              <w:t>维护排水管网长度</w:t>
            </w:r>
          </w:p>
        </w:tc>
        <w:tc>
          <w:tcPr>
            <w:tcW w:w="2551" w:type="dxa"/>
            <w:vAlign w:val="center"/>
          </w:tcPr>
          <w:p>
            <w:pPr>
              <w:pStyle w:val="13"/>
            </w:pPr>
            <w:r>
              <w:t>≥238公里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运维泵站数量</w:t>
            </w:r>
          </w:p>
        </w:tc>
        <w:tc>
          <w:tcPr>
            <w:tcW w:w="3430" w:type="dxa"/>
            <w:vAlign w:val="center"/>
          </w:tcPr>
          <w:p>
            <w:pPr>
              <w:pStyle w:val="13"/>
            </w:pPr>
            <w:r>
              <w:t>运维泵站数量</w:t>
            </w:r>
          </w:p>
        </w:tc>
        <w:tc>
          <w:tcPr>
            <w:tcW w:w="2551" w:type="dxa"/>
            <w:vAlign w:val="center"/>
          </w:tcPr>
          <w:p>
            <w:pPr>
              <w:pStyle w:val="13"/>
            </w:pPr>
            <w:r>
              <w:t>≥80个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管网正常运行率</w:t>
            </w:r>
          </w:p>
        </w:tc>
        <w:tc>
          <w:tcPr>
            <w:tcW w:w="3430" w:type="dxa"/>
            <w:vAlign w:val="center"/>
          </w:tcPr>
          <w:p>
            <w:pPr>
              <w:pStyle w:val="13"/>
            </w:pPr>
            <w:r>
              <w:t>管网正常运行率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泵站正常运行率</w:t>
            </w:r>
          </w:p>
        </w:tc>
        <w:tc>
          <w:tcPr>
            <w:tcW w:w="3430" w:type="dxa"/>
            <w:vAlign w:val="center"/>
          </w:tcPr>
          <w:p>
            <w:pPr>
              <w:pStyle w:val="13"/>
            </w:pPr>
            <w:r>
              <w:t>泵站正常运行率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设备维修完成时间</w:t>
            </w:r>
          </w:p>
        </w:tc>
        <w:tc>
          <w:tcPr>
            <w:tcW w:w="3430" w:type="dxa"/>
            <w:vAlign w:val="center"/>
          </w:tcPr>
          <w:p>
            <w:pPr>
              <w:pStyle w:val="13"/>
            </w:pPr>
            <w:r>
              <w:t>设备维修完成时间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市政泵站、排水管网运维费用</w:t>
            </w:r>
          </w:p>
        </w:tc>
        <w:tc>
          <w:tcPr>
            <w:tcW w:w="3430" w:type="dxa"/>
            <w:vAlign w:val="center"/>
          </w:tcPr>
          <w:p>
            <w:pPr>
              <w:pStyle w:val="13"/>
            </w:pPr>
            <w:r>
              <w:t>市政泵站、排水管网运维费用</w:t>
            </w:r>
          </w:p>
        </w:tc>
        <w:tc>
          <w:tcPr>
            <w:tcW w:w="2551" w:type="dxa"/>
            <w:vAlign w:val="center"/>
          </w:tcPr>
          <w:p>
            <w:pPr>
              <w:pStyle w:val="13"/>
            </w:pPr>
            <w:r>
              <w:t>≤65万元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保障排水设施正常运行</w:t>
            </w:r>
          </w:p>
        </w:tc>
        <w:tc>
          <w:tcPr>
            <w:tcW w:w="3430" w:type="dxa"/>
            <w:vAlign w:val="center"/>
          </w:tcPr>
          <w:p>
            <w:pPr>
              <w:pStyle w:val="13"/>
            </w:pPr>
            <w:r>
              <w:t>保障排水设施正常运行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改善周围居民生活环境</w:t>
            </w:r>
          </w:p>
        </w:tc>
        <w:tc>
          <w:tcPr>
            <w:tcW w:w="3430" w:type="dxa"/>
            <w:vAlign w:val="center"/>
          </w:tcPr>
          <w:p>
            <w:pPr>
              <w:pStyle w:val="13"/>
            </w:pPr>
            <w:r>
              <w:t>改善周围居民生活环境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社会公众满意度</w:t>
            </w:r>
          </w:p>
        </w:tc>
        <w:tc>
          <w:tcPr>
            <w:tcW w:w="3430" w:type="dxa"/>
            <w:vAlign w:val="center"/>
          </w:tcPr>
          <w:p>
            <w:pPr>
              <w:pStyle w:val="13"/>
            </w:pPr>
            <w:r>
              <w:t>社会公众满意度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14"/>
      <w:r>
        <w:rPr>
          <w:rFonts w:ascii="方正仿宋_GBK" w:hAnsi="方正仿宋_GBK" w:eastAsia="方正仿宋_GBK" w:cs="方正仿宋_GBK"/>
          <w:sz w:val="28"/>
        </w:rPr>
        <w:t>11.天津市财政局关于提前下达2025年中央财政水利发展资金预算的通知（津财农指[2024]64号）绩效目标表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天津市财政局关于提前下达2025年中央财政水利发展资金预算的通知（津财农指[2024]64号）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3140000.00</w:t>
            </w:r>
          </w:p>
        </w:tc>
        <w:tc>
          <w:tcPr>
            <w:tcW w:w="1587" w:type="dxa"/>
            <w:vAlign w:val="center"/>
          </w:tcPr>
          <w:p>
            <w:pPr>
              <w:pStyle w:val="14"/>
            </w:pPr>
            <w:r>
              <w:t>其中：财政    资金</w:t>
            </w:r>
          </w:p>
        </w:tc>
        <w:tc>
          <w:tcPr>
            <w:tcW w:w="1843" w:type="dxa"/>
            <w:vAlign w:val="center"/>
          </w:tcPr>
          <w:p>
            <w:pPr>
              <w:pStyle w:val="13"/>
            </w:pPr>
            <w:r>
              <w:t>3140000.00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通过实施2025年度农村供水保障工程维修养护项目，使村民享受优质供水服务。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1.通过实施2025年度农村供水保障工程维修养护项目，使村民享受优质供水服务。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农村供水保障维修养护涉及街镇数</w:t>
            </w:r>
          </w:p>
        </w:tc>
        <w:tc>
          <w:tcPr>
            <w:tcW w:w="3430" w:type="dxa"/>
            <w:vAlign w:val="center"/>
          </w:tcPr>
          <w:p>
            <w:pPr>
              <w:pStyle w:val="13"/>
            </w:pPr>
            <w:r>
              <w:t>农村供水保障维修养护涉及街镇数</w:t>
            </w:r>
          </w:p>
        </w:tc>
        <w:tc>
          <w:tcPr>
            <w:tcW w:w="2551" w:type="dxa"/>
            <w:vAlign w:val="center"/>
          </w:tcPr>
          <w:p>
            <w:pPr>
              <w:pStyle w:val="13"/>
            </w:pPr>
            <w:r>
              <w:t>6个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施工验收合格率</w:t>
            </w:r>
          </w:p>
        </w:tc>
        <w:tc>
          <w:tcPr>
            <w:tcW w:w="3430" w:type="dxa"/>
            <w:vAlign w:val="center"/>
          </w:tcPr>
          <w:p>
            <w:pPr>
              <w:pStyle w:val="13"/>
            </w:pPr>
            <w:r>
              <w:t>施工验收合格率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农村供水保障维修养护工程完工时间</w:t>
            </w:r>
          </w:p>
        </w:tc>
        <w:tc>
          <w:tcPr>
            <w:tcW w:w="3430" w:type="dxa"/>
            <w:vAlign w:val="center"/>
          </w:tcPr>
          <w:p>
            <w:pPr>
              <w:pStyle w:val="13"/>
            </w:pPr>
            <w:r>
              <w:t>农村供水保障维修养护工程完工时间</w:t>
            </w:r>
          </w:p>
        </w:tc>
        <w:tc>
          <w:tcPr>
            <w:tcW w:w="2551" w:type="dxa"/>
            <w:vAlign w:val="center"/>
          </w:tcPr>
          <w:p>
            <w:pPr>
              <w:pStyle w:val="13"/>
            </w:pPr>
            <w:r>
              <w:t>2025年底前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项目申报金额</w:t>
            </w:r>
          </w:p>
        </w:tc>
        <w:tc>
          <w:tcPr>
            <w:tcW w:w="3430" w:type="dxa"/>
            <w:vAlign w:val="center"/>
          </w:tcPr>
          <w:p>
            <w:pPr>
              <w:pStyle w:val="13"/>
            </w:pPr>
            <w:r>
              <w:t>项目申报金额</w:t>
            </w:r>
          </w:p>
        </w:tc>
        <w:tc>
          <w:tcPr>
            <w:tcW w:w="2551" w:type="dxa"/>
            <w:vAlign w:val="center"/>
          </w:tcPr>
          <w:p>
            <w:pPr>
              <w:pStyle w:val="13"/>
            </w:pPr>
            <w:r>
              <w:t>314万元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提高村民饮水质量</w:t>
            </w:r>
          </w:p>
        </w:tc>
        <w:tc>
          <w:tcPr>
            <w:tcW w:w="3430" w:type="dxa"/>
            <w:vAlign w:val="center"/>
          </w:tcPr>
          <w:p>
            <w:pPr>
              <w:pStyle w:val="13"/>
            </w:pPr>
            <w:r>
              <w:t>提高村民饮水质量</w:t>
            </w:r>
          </w:p>
        </w:tc>
        <w:tc>
          <w:tcPr>
            <w:tcW w:w="2551" w:type="dxa"/>
            <w:vAlign w:val="center"/>
          </w:tcPr>
          <w:p>
            <w:pPr>
              <w:pStyle w:val="13"/>
            </w:pPr>
            <w:r>
              <w:t>供水质量达到饮用水标准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村民满意度</w:t>
            </w:r>
          </w:p>
        </w:tc>
        <w:tc>
          <w:tcPr>
            <w:tcW w:w="3430" w:type="dxa"/>
            <w:vAlign w:val="center"/>
          </w:tcPr>
          <w:p>
            <w:pPr>
              <w:pStyle w:val="13"/>
            </w:pPr>
            <w:r>
              <w:t>村民满意度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15"/>
      <w:r>
        <w:rPr>
          <w:rFonts w:ascii="方正仿宋_GBK" w:hAnsi="方正仿宋_GBK" w:eastAsia="方正仿宋_GBK" w:cs="方正仿宋_GBK"/>
          <w:sz w:val="28"/>
        </w:rPr>
        <w:t>12.天津市财政局关于下达2024年市财政水务改革发展资金预算的通知（津财农指[2024]7号）绩效目标表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370101天津市滨海新区水务局</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天津市财政局关于下达2024年市财政水务改革发展资金预算的通知（津财农指[2024]7号）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2097920.00</w:t>
            </w:r>
          </w:p>
        </w:tc>
        <w:tc>
          <w:tcPr>
            <w:tcW w:w="1587" w:type="dxa"/>
            <w:vAlign w:val="center"/>
          </w:tcPr>
          <w:p>
            <w:pPr>
              <w:pStyle w:val="14"/>
            </w:pPr>
            <w:r>
              <w:t>其中：财政    资金</w:t>
            </w:r>
          </w:p>
        </w:tc>
        <w:tc>
          <w:tcPr>
            <w:tcW w:w="1843" w:type="dxa"/>
            <w:vAlign w:val="center"/>
          </w:tcPr>
          <w:p>
            <w:pPr>
              <w:pStyle w:val="13"/>
            </w:pPr>
            <w:r>
              <w:t>2097920.00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通过开展河湖长制宣传培训，进行水质检测，开展幸福河湖建设规划编制，对河长制信息化平台进行运维等保等工作，提升河湖长制社会知晓率和满意度，推动河湖长制工作全面落实。</w:t>
            </w:r>
            <w:r>
              <w:tab/>
            </w:r>
            <w:r>
              <w:tab/>
            </w:r>
            <w:r>
              <w:tab/>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1.通过开展河湖长制宣传培训，进行水质检测，开展幸福河湖建设规划编制，对河长制信息化平台进行运维等保等工作，提升河湖长制社会知晓率和满意度，推动河湖长制工作全面落实。</w:t>
            </w:r>
            <w:r>
              <w:tab/>
            </w:r>
            <w:r>
              <w:tab/>
            </w:r>
            <w:r>
              <w:tab/>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水质检测次数</w:t>
            </w:r>
          </w:p>
        </w:tc>
        <w:tc>
          <w:tcPr>
            <w:tcW w:w="3430" w:type="dxa"/>
            <w:vAlign w:val="center"/>
          </w:tcPr>
          <w:p>
            <w:pPr>
              <w:pStyle w:val="13"/>
            </w:pPr>
            <w:r>
              <w:t>水质检测次数</w:t>
            </w:r>
          </w:p>
        </w:tc>
        <w:tc>
          <w:tcPr>
            <w:tcW w:w="2551" w:type="dxa"/>
            <w:vAlign w:val="center"/>
          </w:tcPr>
          <w:p>
            <w:pPr>
              <w:pStyle w:val="13"/>
            </w:pPr>
            <w:r>
              <w:t>≥8次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河湖长制培训合格率</w:t>
            </w:r>
          </w:p>
        </w:tc>
        <w:tc>
          <w:tcPr>
            <w:tcW w:w="3430" w:type="dxa"/>
            <w:vAlign w:val="center"/>
          </w:tcPr>
          <w:p>
            <w:pPr>
              <w:pStyle w:val="13"/>
            </w:pPr>
            <w:r>
              <w:t>河湖长制培训合格率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信息化平台正常运转率</w:t>
            </w:r>
          </w:p>
        </w:tc>
        <w:tc>
          <w:tcPr>
            <w:tcW w:w="3430" w:type="dxa"/>
            <w:vAlign w:val="center"/>
          </w:tcPr>
          <w:p>
            <w:pPr>
              <w:pStyle w:val="13"/>
            </w:pPr>
            <w:r>
              <w:t>信息化平台正常运转率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河长制信息化平台运行维护、河湖长制宣传培训、水质检测和幸福河湖建设规划编制成本</w:t>
            </w:r>
          </w:p>
        </w:tc>
        <w:tc>
          <w:tcPr>
            <w:tcW w:w="3430" w:type="dxa"/>
            <w:vAlign w:val="center"/>
          </w:tcPr>
          <w:p>
            <w:pPr>
              <w:pStyle w:val="13"/>
            </w:pPr>
            <w:r>
              <w:t>河长制信息化平台运行维护、河湖长制宣传培训、水质检测和幸福河湖建设规划编制成本</w:t>
            </w:r>
          </w:p>
        </w:tc>
        <w:tc>
          <w:tcPr>
            <w:tcW w:w="2551" w:type="dxa"/>
            <w:vAlign w:val="center"/>
          </w:tcPr>
          <w:p>
            <w:pPr>
              <w:pStyle w:val="13"/>
            </w:pPr>
            <w:r>
              <w:t>≤209.79万元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宣传活动及培训工作完成时间</w:t>
            </w:r>
          </w:p>
        </w:tc>
        <w:tc>
          <w:tcPr>
            <w:tcW w:w="3430" w:type="dxa"/>
            <w:vAlign w:val="center"/>
          </w:tcPr>
          <w:p>
            <w:pPr>
              <w:pStyle w:val="13"/>
            </w:pPr>
            <w:r>
              <w:t>宣传活动及培训工作完成时间</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信息化平台故障维护时长</w:t>
            </w:r>
          </w:p>
        </w:tc>
        <w:tc>
          <w:tcPr>
            <w:tcW w:w="3430" w:type="dxa"/>
            <w:vAlign w:val="center"/>
          </w:tcPr>
          <w:p>
            <w:pPr>
              <w:pStyle w:val="13"/>
            </w:pPr>
            <w:r>
              <w:t>信息化平台故障维护时长</w:t>
            </w:r>
          </w:p>
        </w:tc>
        <w:tc>
          <w:tcPr>
            <w:tcW w:w="2551" w:type="dxa"/>
            <w:vAlign w:val="center"/>
          </w:tcPr>
          <w:p>
            <w:pPr>
              <w:pStyle w:val="13"/>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为美丽“滨城”建设提供水生态保障</w:t>
            </w:r>
          </w:p>
        </w:tc>
        <w:tc>
          <w:tcPr>
            <w:tcW w:w="3430" w:type="dxa"/>
            <w:vAlign w:val="center"/>
          </w:tcPr>
          <w:p>
            <w:pPr>
              <w:pStyle w:val="13"/>
            </w:pPr>
            <w:r>
              <w:t>为美丽“滨城”建设提供水生态保障</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信息化平台正常运转率</w:t>
            </w:r>
          </w:p>
        </w:tc>
        <w:tc>
          <w:tcPr>
            <w:tcW w:w="3430" w:type="dxa"/>
            <w:vAlign w:val="center"/>
          </w:tcPr>
          <w:p>
            <w:pPr>
              <w:pStyle w:val="13"/>
            </w:pPr>
            <w:r>
              <w:t>信息化平台正常运转率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改善河湖水环境质量</w:t>
            </w:r>
          </w:p>
        </w:tc>
        <w:tc>
          <w:tcPr>
            <w:tcW w:w="3430" w:type="dxa"/>
            <w:vAlign w:val="center"/>
          </w:tcPr>
          <w:p>
            <w:pPr>
              <w:pStyle w:val="13"/>
            </w:pPr>
            <w:r>
              <w:t>改善河湖水环境质量</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推动河湖长制工作全面落实</w:t>
            </w:r>
          </w:p>
        </w:tc>
        <w:tc>
          <w:tcPr>
            <w:tcW w:w="3430" w:type="dxa"/>
            <w:vAlign w:val="center"/>
          </w:tcPr>
          <w:p>
            <w:pPr>
              <w:pStyle w:val="13"/>
            </w:pPr>
            <w:r>
              <w:t>推动河湖长制工作全面落实</w:t>
            </w:r>
          </w:p>
        </w:tc>
        <w:tc>
          <w:tcPr>
            <w:tcW w:w="2551" w:type="dxa"/>
            <w:vAlign w:val="center"/>
          </w:tcPr>
          <w:p>
            <w:pPr>
              <w:pStyle w:val="13"/>
            </w:pPr>
            <w:r>
              <w:t>长期有效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宣传、培训对象满意度</w:t>
            </w:r>
          </w:p>
        </w:tc>
        <w:tc>
          <w:tcPr>
            <w:tcW w:w="3430" w:type="dxa"/>
            <w:vAlign w:val="center"/>
          </w:tcPr>
          <w:p>
            <w:pPr>
              <w:pStyle w:val="13"/>
            </w:pPr>
            <w:r>
              <w:t>宣传、培训对象满意度</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平台使用对象满意度</w:t>
            </w:r>
          </w:p>
        </w:tc>
        <w:tc>
          <w:tcPr>
            <w:tcW w:w="3430" w:type="dxa"/>
            <w:vAlign w:val="center"/>
          </w:tcPr>
          <w:p>
            <w:pPr>
              <w:pStyle w:val="13"/>
            </w:pPr>
            <w:r>
              <w:t>平台使用对象满意度</w:t>
            </w:r>
          </w:p>
        </w:tc>
        <w:tc>
          <w:tcPr>
            <w:tcW w:w="2551" w:type="dxa"/>
            <w:vAlign w:val="center"/>
          </w:tcPr>
          <w:p>
            <w:pPr>
              <w:pStyle w:val="13"/>
            </w:pPr>
            <w:r>
              <w:t>≥90%</w:t>
            </w:r>
          </w:p>
        </w:tc>
      </w:tr>
    </w:tbl>
    <w:p>
      <w:pPr>
        <w:spacing w:before="0" w:after="0" w:line="240" w:lineRule="auto"/>
        <w:ind w:firstLine="0"/>
        <w:jc w:val="both"/>
        <w:outlineLvl w:val="9"/>
      </w:pPr>
      <w:bookmarkStart w:id="12" w:name="_GoBack"/>
      <w:bookmarkEnd w:id="12"/>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false"/>
  <w:bordersDoNotSurroundFooter w:val="false"/>
  <w:doNotTrackMoves/>
  <w:documentProtection w:enforcement="0"/>
  <w:defaultTabStop w:val="720"/>
  <w:evenAndOddHeaders w:val="true"/>
  <w:characterSpacingControl w:val="doNotCompress"/>
  <w:compat>
    <w:doNotLeaveBackslashAlone/>
    <w:doNotExpandShiftReturn/>
    <w:adjustLineHeightInTable/>
    <w:useFELayout/>
    <w:compatSetting w:name="compatibilityMode" w:uri="http://schemas.microsoft.com/office/word" w:val="15"/>
  </w:compat>
  <w:rsids>
    <w:rsidRoot w:val="00000000"/>
    <w:rsid w:val="41BB3F92"/>
    <w:rsid w:val="71D31A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TotalTime>3</TotalTime>
  <ScaleCrop>false</ScaleCrop>
  <LinksUpToDate>false</LinksUpToDate>
  <Application>WPS Office_11.8.2.9583_F1E327BC-269C-435d-A152-05C5408002CA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2025-01-21T18:51:00Z</dcterms:created>
  <dc:creator>Dell</dc:creator>
  <cp:lastModifiedBy>办公室</cp:lastModifiedBy>
  <dcterms:modified xsi:type="dcterms:W3CDTF">2025-02-11T15:11:15Z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y fmtid="{D5CDD505-2E9C-101B-9397-08002B2CF9AE}" pid="3" name="ICV">
    <vt:lpwstr>70BFD46A27354AEABBB0074E0660C1E3_13</vt:lpwstr>
  </property>
</Properties>
</file>