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Theme="minorEastAsia"/>
          <w:lang w:eastAsia="zh-CN"/>
        </w:rPr>
      </w:pPr>
    </w:p>
    <w:p>
      <w:pPr>
        <w:ind w:firstLine="560"/>
        <w:outlineLvl w:val="3"/>
      </w:pPr>
      <w:bookmarkStart w:id="0" w:name="_Toc_4_4_0000000016"/>
      <w:r>
        <w:rPr>
          <w:rFonts w:hint="eastAsia" w:ascii="方正仿宋_GBK" w:hAnsi="方正仿宋_GBK" w:cs="方正仿宋_GBK" w:eastAsiaTheme="minorEastAsia"/>
          <w:sz w:val="28"/>
          <w:lang w:eastAsia="zh-CN"/>
        </w:rPr>
        <w:t>1</w:t>
      </w:r>
      <w:r>
        <w:rPr>
          <w:rFonts w:ascii="方正仿宋_GBK" w:hAnsi="方正仿宋_GBK" w:eastAsia="方正仿宋_GBK" w:cs="方正仿宋_GBK"/>
          <w:sz w:val="28"/>
        </w:rPr>
        <w:t>.*2025年排灌事务综合管理专项经费绩效目标表</w:t>
      </w:r>
      <w:bookmarkEnd w:id="0"/>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*2025年排灌事务综合管理专项经费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3700000.00</w:t>
            </w:r>
          </w:p>
        </w:tc>
        <w:tc>
          <w:tcPr>
            <w:tcW w:w="1587" w:type="dxa"/>
            <w:vAlign w:val="center"/>
          </w:tcPr>
          <w:p>
            <w:pPr>
              <w:pStyle w:val="16"/>
            </w:pPr>
            <w:r>
              <w:t>其中：财政    资金</w:t>
            </w:r>
          </w:p>
        </w:tc>
        <w:tc>
          <w:tcPr>
            <w:tcW w:w="1843" w:type="dxa"/>
            <w:vAlign w:val="center"/>
          </w:tcPr>
          <w:p>
            <w:pPr>
              <w:pStyle w:val="15"/>
            </w:pPr>
            <w:r>
              <w:t>3700000.00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通过落实中心的综合管理任务，支付物业费、法律服务费、取暖费、搬迁改造费用、诉讼费、税务审核费等费用，保证部门正常运转。</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1.通过落实中心的综合管理任务，支付物业费、法律服务费、取暖费、搬迁改造费用、诉讼费、税务审核费等费用，保证部门正常运转。</w:t>
            </w:r>
            <w:r>
              <w:tab/>
            </w:r>
            <w:r>
              <w:tab/>
            </w:r>
            <w:r>
              <w:tab/>
            </w:r>
            <w:r>
              <w:tab/>
            </w:r>
            <w:r>
              <w:tab/>
            </w:r>
            <w:r>
              <w:tab/>
            </w:r>
          </w:p>
          <w:p>
            <w:pPr>
              <w:pStyle w:val="15"/>
            </w:pPr>
          </w:p>
        </w:tc>
      </w:tr>
    </w:tbl>
    <w:p>
      <w:pPr>
        <w:spacing w:line="2" w:lineRule="exact"/>
        <w:jc w:val="center"/>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保障运转机构数</w:t>
            </w:r>
          </w:p>
        </w:tc>
        <w:tc>
          <w:tcPr>
            <w:tcW w:w="3430" w:type="dxa"/>
            <w:vAlign w:val="center"/>
          </w:tcPr>
          <w:p>
            <w:pPr>
              <w:pStyle w:val="15"/>
            </w:pPr>
            <w:r>
              <w:t>保障运转机构数</w:t>
            </w:r>
          </w:p>
        </w:tc>
        <w:tc>
          <w:tcPr>
            <w:tcW w:w="2551" w:type="dxa"/>
            <w:vAlign w:val="center"/>
          </w:tcPr>
          <w:p>
            <w:pPr>
              <w:pStyle w:val="15"/>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办公设施完好率</w:t>
            </w:r>
          </w:p>
        </w:tc>
        <w:tc>
          <w:tcPr>
            <w:tcW w:w="3430" w:type="dxa"/>
            <w:vAlign w:val="center"/>
          </w:tcPr>
          <w:p>
            <w:pPr>
              <w:pStyle w:val="15"/>
            </w:pPr>
            <w:r>
              <w:t>办公设施完好率</w:t>
            </w:r>
          </w:p>
        </w:tc>
        <w:tc>
          <w:tcPr>
            <w:tcW w:w="2551" w:type="dxa"/>
            <w:vAlign w:val="center"/>
          </w:tcPr>
          <w:p>
            <w:pPr>
              <w:pStyle w:val="15"/>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中心运转保障时间</w:t>
            </w:r>
          </w:p>
        </w:tc>
        <w:tc>
          <w:tcPr>
            <w:tcW w:w="3430" w:type="dxa"/>
            <w:vAlign w:val="center"/>
          </w:tcPr>
          <w:p>
            <w:pPr>
              <w:pStyle w:val="15"/>
            </w:pPr>
            <w:r>
              <w:t>中心运转保障时间</w:t>
            </w:r>
          </w:p>
        </w:tc>
        <w:tc>
          <w:tcPr>
            <w:tcW w:w="2551" w:type="dxa"/>
            <w:vAlign w:val="center"/>
          </w:tcPr>
          <w:p>
            <w:pPr>
              <w:pStyle w:val="15"/>
            </w:pPr>
            <w:r>
              <w:t>2025年12月底前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排灌事务综合管理专项经费</w:t>
            </w:r>
          </w:p>
        </w:tc>
        <w:tc>
          <w:tcPr>
            <w:tcW w:w="3430" w:type="dxa"/>
            <w:vAlign w:val="center"/>
          </w:tcPr>
          <w:p>
            <w:pPr>
              <w:pStyle w:val="15"/>
            </w:pPr>
            <w:r>
              <w:t>排灌事务综合管理专项经费</w:t>
            </w:r>
          </w:p>
        </w:tc>
        <w:tc>
          <w:tcPr>
            <w:tcW w:w="2551" w:type="dxa"/>
            <w:vAlign w:val="center"/>
          </w:tcPr>
          <w:p>
            <w:pPr>
              <w:pStyle w:val="15"/>
            </w:pPr>
            <w:r>
              <w:t>≤370万元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保障中心正常运转</w:t>
            </w:r>
          </w:p>
        </w:tc>
        <w:tc>
          <w:tcPr>
            <w:tcW w:w="3430" w:type="dxa"/>
            <w:vAlign w:val="center"/>
          </w:tcPr>
          <w:p>
            <w:pPr>
              <w:pStyle w:val="15"/>
            </w:pPr>
            <w:r>
              <w:t>保障中心正常运转</w:t>
            </w:r>
          </w:p>
        </w:tc>
        <w:tc>
          <w:tcPr>
            <w:tcW w:w="2551" w:type="dxa"/>
            <w:vAlign w:val="center"/>
          </w:tcPr>
          <w:p>
            <w:pPr>
              <w:pStyle w:val="15"/>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中心工作人员满意度</w:t>
            </w:r>
          </w:p>
        </w:tc>
        <w:tc>
          <w:tcPr>
            <w:tcW w:w="3430" w:type="dxa"/>
            <w:vAlign w:val="center"/>
          </w:tcPr>
          <w:p>
            <w:pPr>
              <w:pStyle w:val="15"/>
            </w:pPr>
            <w:r>
              <w:t>中心工作人员满意度</w:t>
            </w:r>
          </w:p>
        </w:tc>
        <w:tc>
          <w:tcPr>
            <w:tcW w:w="2551" w:type="dxa"/>
            <w:vAlign w:val="center"/>
          </w:tcPr>
          <w:p>
            <w:pPr>
              <w:pStyle w:val="15"/>
            </w:pPr>
            <w:r>
              <w:t>≥90%</w:t>
            </w:r>
          </w:p>
        </w:tc>
      </w:tr>
    </w:tbl>
    <w:p>
      <w:pPr>
        <w:sectPr>
          <w:footerReference r:id="rId3" w:type="default"/>
          <w:footerReference r:id="rId4" w:type="even"/>
          <w:pgSz w:w="11900" w:h="16840"/>
          <w:pgMar w:top="1984" w:right="1304" w:bottom="1134" w:left="1304" w:header="720" w:footer="720" w:gutter="0"/>
          <w:cols w:space="720" w:num="1"/>
        </w:sectPr>
      </w:pPr>
    </w:p>
    <w:p>
      <w:pPr>
        <w:jc w:val="center"/>
      </w:pPr>
      <w:r>
        <w:rPr>
          <w:rFonts w:ascii="方正仿宋_GBK" w:hAnsi="方正仿宋_GBK" w:eastAsia="方正仿宋_GBK" w:cs="方正仿宋_GBK"/>
          <w:sz w:val="28"/>
        </w:rPr>
        <w:t xml:space="preserve"> </w:t>
      </w:r>
    </w:p>
    <w:p>
      <w:pPr>
        <w:ind w:firstLine="560"/>
        <w:outlineLvl w:val="3"/>
      </w:pPr>
      <w:bookmarkStart w:id="1" w:name="_Toc_4_4_0000000017"/>
      <w:r>
        <w:rPr>
          <w:rFonts w:hint="eastAsia" w:ascii="方正仿宋_GBK" w:hAnsi="方正仿宋_GBK" w:cs="方正仿宋_GBK" w:eastAsiaTheme="minorEastAsia"/>
          <w:sz w:val="28"/>
          <w:lang w:eastAsia="zh-CN"/>
        </w:rPr>
        <w:t>2</w:t>
      </w:r>
      <w:r>
        <w:rPr>
          <w:rFonts w:ascii="方正仿宋_GBK" w:hAnsi="方正仿宋_GBK" w:eastAsia="方正仿宋_GBK" w:cs="方正仿宋_GBK"/>
          <w:sz w:val="28"/>
        </w:rPr>
        <w:t>.*2025年水利、排水设施维护养管经费绩效目标表</w:t>
      </w:r>
      <w:bookmarkEnd w:id="1"/>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*2025年水利、排水设施维护养管经费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34000000.00</w:t>
            </w:r>
          </w:p>
        </w:tc>
        <w:tc>
          <w:tcPr>
            <w:tcW w:w="1587" w:type="dxa"/>
            <w:vAlign w:val="center"/>
          </w:tcPr>
          <w:p>
            <w:pPr>
              <w:pStyle w:val="16"/>
            </w:pPr>
            <w:r>
              <w:t>其中：财政    资金</w:t>
            </w:r>
          </w:p>
        </w:tc>
        <w:tc>
          <w:tcPr>
            <w:tcW w:w="1843" w:type="dxa"/>
            <w:vAlign w:val="center"/>
          </w:tcPr>
          <w:p>
            <w:pPr>
              <w:pStyle w:val="15"/>
            </w:pPr>
            <w:r>
              <w:t>34000000.00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通过对管网及泵站的养护管理，保障水利、排水设施正常运转</w:t>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1.通过对管网及泵站的养护管理，保障水利、排水设施正常运转</w:t>
            </w:r>
            <w:r>
              <w:tab/>
            </w:r>
            <w:r>
              <w:tab/>
            </w:r>
            <w:r>
              <w:tab/>
            </w:r>
            <w:r>
              <w:tab/>
            </w:r>
            <w:r>
              <w:tab/>
            </w:r>
            <w:r>
              <w:tab/>
            </w:r>
          </w:p>
        </w:tc>
      </w:tr>
    </w:tbl>
    <w:p>
      <w:pPr>
        <w:spacing w:line="2" w:lineRule="exact"/>
        <w:jc w:val="center"/>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水利、排水设施养管项目</w:t>
            </w:r>
          </w:p>
        </w:tc>
        <w:tc>
          <w:tcPr>
            <w:tcW w:w="3430" w:type="dxa"/>
            <w:vAlign w:val="center"/>
          </w:tcPr>
          <w:p>
            <w:pPr>
              <w:pStyle w:val="15"/>
            </w:pPr>
            <w:r>
              <w:t>水利、排水设施养管项目</w:t>
            </w:r>
          </w:p>
        </w:tc>
        <w:tc>
          <w:tcPr>
            <w:tcW w:w="2551" w:type="dxa"/>
            <w:vAlign w:val="center"/>
          </w:tcPr>
          <w:p>
            <w:pPr>
              <w:pStyle w:val="15"/>
            </w:pPr>
            <w:r>
              <w:t>≥1项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初期雨水治理项目</w:t>
            </w:r>
          </w:p>
        </w:tc>
        <w:tc>
          <w:tcPr>
            <w:tcW w:w="3430" w:type="dxa"/>
            <w:vAlign w:val="center"/>
          </w:tcPr>
          <w:p>
            <w:pPr>
              <w:pStyle w:val="15"/>
            </w:pPr>
            <w:r>
              <w:t>初期雨水治理项目</w:t>
            </w:r>
          </w:p>
        </w:tc>
        <w:tc>
          <w:tcPr>
            <w:tcW w:w="2551" w:type="dxa"/>
            <w:vAlign w:val="center"/>
          </w:tcPr>
          <w:p>
            <w:pPr>
              <w:pStyle w:val="15"/>
            </w:pPr>
            <w:r>
              <w:t>≥1项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管网正常运行率</w:t>
            </w:r>
          </w:p>
        </w:tc>
        <w:tc>
          <w:tcPr>
            <w:tcW w:w="3430" w:type="dxa"/>
            <w:vAlign w:val="center"/>
          </w:tcPr>
          <w:p>
            <w:pPr>
              <w:pStyle w:val="15"/>
            </w:pPr>
            <w:r>
              <w:t>管网正常运行率</w:t>
            </w:r>
          </w:p>
        </w:tc>
        <w:tc>
          <w:tcPr>
            <w:tcW w:w="2551" w:type="dxa"/>
            <w:vAlign w:val="center"/>
          </w:tcPr>
          <w:p>
            <w:pPr>
              <w:pStyle w:val="15"/>
            </w:pPr>
            <w:r>
              <w:t>≥75%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泵站正常运行率</w:t>
            </w:r>
          </w:p>
        </w:tc>
        <w:tc>
          <w:tcPr>
            <w:tcW w:w="3430" w:type="dxa"/>
            <w:vAlign w:val="center"/>
          </w:tcPr>
          <w:p>
            <w:pPr>
              <w:pStyle w:val="15"/>
            </w:pPr>
            <w:r>
              <w:t>泵站正常运行率</w:t>
            </w:r>
          </w:p>
        </w:tc>
        <w:tc>
          <w:tcPr>
            <w:tcW w:w="2551" w:type="dxa"/>
            <w:vAlign w:val="center"/>
          </w:tcPr>
          <w:p>
            <w:pPr>
              <w:pStyle w:val="15"/>
            </w:pPr>
            <w:r>
              <w:t>≥75%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管网养管时限</w:t>
            </w:r>
          </w:p>
        </w:tc>
        <w:tc>
          <w:tcPr>
            <w:tcW w:w="3430" w:type="dxa"/>
            <w:vAlign w:val="center"/>
          </w:tcPr>
          <w:p>
            <w:pPr>
              <w:pStyle w:val="15"/>
            </w:pPr>
            <w:r>
              <w:t>管网养管时限</w:t>
            </w:r>
          </w:p>
        </w:tc>
        <w:tc>
          <w:tcPr>
            <w:tcW w:w="2551" w:type="dxa"/>
            <w:vAlign w:val="center"/>
          </w:tcPr>
          <w:p>
            <w:pPr>
              <w:pStyle w:val="15"/>
            </w:pPr>
            <w:r>
              <w:t>2025年度全年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排水设施养管经费</w:t>
            </w:r>
          </w:p>
        </w:tc>
        <w:tc>
          <w:tcPr>
            <w:tcW w:w="3430" w:type="dxa"/>
            <w:vAlign w:val="center"/>
          </w:tcPr>
          <w:p>
            <w:pPr>
              <w:pStyle w:val="15"/>
            </w:pPr>
            <w:r>
              <w:t>排水设施养管经费</w:t>
            </w:r>
          </w:p>
        </w:tc>
        <w:tc>
          <w:tcPr>
            <w:tcW w:w="2551" w:type="dxa"/>
            <w:vAlign w:val="center"/>
          </w:tcPr>
          <w:p>
            <w:pPr>
              <w:pStyle w:val="15"/>
            </w:pPr>
            <w:r>
              <w:t>≤3400万元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排水设施正常运转率</w:t>
            </w:r>
          </w:p>
        </w:tc>
        <w:tc>
          <w:tcPr>
            <w:tcW w:w="3430" w:type="dxa"/>
            <w:vAlign w:val="center"/>
          </w:tcPr>
          <w:p>
            <w:pPr>
              <w:pStyle w:val="15"/>
            </w:pPr>
            <w:r>
              <w:t>排水设施正常运转率</w:t>
            </w:r>
          </w:p>
        </w:tc>
        <w:tc>
          <w:tcPr>
            <w:tcW w:w="2551" w:type="dxa"/>
            <w:vAlign w:val="center"/>
          </w:tcPr>
          <w:p>
            <w:pPr>
              <w:pStyle w:val="15"/>
            </w:pPr>
            <w:r>
              <w:t>≥75%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社会公众满意度</w:t>
            </w:r>
          </w:p>
        </w:tc>
        <w:tc>
          <w:tcPr>
            <w:tcW w:w="3430" w:type="dxa"/>
            <w:vAlign w:val="center"/>
          </w:tcPr>
          <w:p>
            <w:pPr>
              <w:pStyle w:val="15"/>
            </w:pPr>
            <w:r>
              <w:t>社会公众满意度</w:t>
            </w:r>
          </w:p>
        </w:tc>
        <w:tc>
          <w:tcPr>
            <w:tcW w:w="2551" w:type="dxa"/>
            <w:vAlign w:val="center"/>
          </w:tcPr>
          <w:p>
            <w:pPr>
              <w:pStyle w:val="15"/>
            </w:pPr>
            <w:r>
              <w:t>≥90%</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sz w:val="28"/>
        </w:rPr>
        <w:t xml:space="preserve"> </w:t>
      </w:r>
    </w:p>
    <w:p>
      <w:pPr>
        <w:ind w:firstLine="560"/>
        <w:outlineLvl w:val="3"/>
      </w:pPr>
      <w:bookmarkStart w:id="2" w:name="_Toc_4_4_0000000018"/>
      <w:r>
        <w:rPr>
          <w:rFonts w:hint="eastAsia" w:ascii="方正仿宋_GBK" w:hAnsi="方正仿宋_GBK" w:cs="方正仿宋_GBK" w:eastAsiaTheme="minorEastAsia"/>
          <w:sz w:val="28"/>
          <w:lang w:eastAsia="zh-CN"/>
        </w:rPr>
        <w:t>3</w:t>
      </w:r>
      <w:r>
        <w:rPr>
          <w:rFonts w:ascii="方正仿宋_GBK" w:hAnsi="方正仿宋_GBK" w:eastAsia="方正仿宋_GBK" w:cs="方正仿宋_GBK"/>
          <w:sz w:val="28"/>
        </w:rPr>
        <w:t>.*2025年污水处理费（一般公共预算）绩效目标表</w:t>
      </w:r>
      <w:bookmarkEnd w:id="2"/>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*2025年污水处理费（一般公共预算）</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150000000.00</w:t>
            </w:r>
          </w:p>
        </w:tc>
        <w:tc>
          <w:tcPr>
            <w:tcW w:w="1587" w:type="dxa"/>
            <w:vAlign w:val="center"/>
          </w:tcPr>
          <w:p>
            <w:pPr>
              <w:pStyle w:val="16"/>
            </w:pPr>
            <w:r>
              <w:t>其中：财政    资金</w:t>
            </w:r>
          </w:p>
        </w:tc>
        <w:tc>
          <w:tcPr>
            <w:tcW w:w="1843" w:type="dxa"/>
            <w:vAlign w:val="center"/>
          </w:tcPr>
          <w:p>
            <w:pPr>
              <w:pStyle w:val="15"/>
            </w:pPr>
            <w:r>
              <w:t>150000000.00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通过对污水进行处理，改善水环境</w:t>
            </w:r>
            <w:r>
              <w:tab/>
            </w:r>
            <w:r>
              <w:tab/>
            </w:r>
            <w:r>
              <w:tab/>
            </w:r>
            <w:r>
              <w:tab/>
            </w:r>
            <w:r>
              <w:tab/>
            </w:r>
            <w:r>
              <w:tab/>
            </w:r>
          </w:p>
          <w:p>
            <w:pPr>
              <w:pStyle w:val="15"/>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1.通过对污水进行处理，改善水环境</w:t>
            </w:r>
            <w:r>
              <w:tab/>
            </w:r>
            <w:r>
              <w:tab/>
            </w:r>
            <w:r>
              <w:tab/>
            </w:r>
            <w:r>
              <w:tab/>
            </w:r>
            <w:r>
              <w:tab/>
            </w:r>
            <w:r>
              <w:tab/>
            </w:r>
          </w:p>
          <w:p>
            <w:pPr>
              <w:pStyle w:val="15"/>
            </w:pPr>
          </w:p>
        </w:tc>
      </w:tr>
    </w:tbl>
    <w:p>
      <w:pPr>
        <w:spacing w:line="2" w:lineRule="exact"/>
        <w:jc w:val="center"/>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污水处理厂数量</w:t>
            </w:r>
          </w:p>
        </w:tc>
        <w:tc>
          <w:tcPr>
            <w:tcW w:w="3430" w:type="dxa"/>
            <w:vAlign w:val="center"/>
          </w:tcPr>
          <w:p>
            <w:pPr>
              <w:pStyle w:val="15"/>
            </w:pPr>
            <w:r>
              <w:t>污水处理厂数量</w:t>
            </w:r>
          </w:p>
        </w:tc>
        <w:tc>
          <w:tcPr>
            <w:tcW w:w="2551" w:type="dxa"/>
            <w:vAlign w:val="center"/>
          </w:tcPr>
          <w:p>
            <w:pPr>
              <w:pStyle w:val="15"/>
            </w:pPr>
            <w:r>
              <w:t>≥13座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全年预计污水处理量</w:t>
            </w:r>
          </w:p>
        </w:tc>
        <w:tc>
          <w:tcPr>
            <w:tcW w:w="3430" w:type="dxa"/>
            <w:vAlign w:val="center"/>
          </w:tcPr>
          <w:p>
            <w:pPr>
              <w:pStyle w:val="15"/>
            </w:pPr>
            <w:r>
              <w:t>全年预计污水处理量</w:t>
            </w:r>
          </w:p>
        </w:tc>
        <w:tc>
          <w:tcPr>
            <w:tcW w:w="2551" w:type="dxa"/>
            <w:vAlign w:val="center"/>
          </w:tcPr>
          <w:p>
            <w:pPr>
              <w:pStyle w:val="15"/>
            </w:pPr>
            <w:r>
              <w:t>≥2900万吨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污水处理出水水质达标率</w:t>
            </w:r>
          </w:p>
        </w:tc>
        <w:tc>
          <w:tcPr>
            <w:tcW w:w="3430" w:type="dxa"/>
            <w:vAlign w:val="center"/>
          </w:tcPr>
          <w:p>
            <w:pPr>
              <w:pStyle w:val="15"/>
            </w:pPr>
            <w:r>
              <w:t>污水处理出水水质达标率</w:t>
            </w:r>
          </w:p>
        </w:tc>
        <w:tc>
          <w:tcPr>
            <w:tcW w:w="2551" w:type="dxa"/>
            <w:vAlign w:val="center"/>
          </w:tcPr>
          <w:p>
            <w:pPr>
              <w:pStyle w:val="15"/>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城镇生活污水处理率</w:t>
            </w:r>
          </w:p>
        </w:tc>
        <w:tc>
          <w:tcPr>
            <w:tcW w:w="3430" w:type="dxa"/>
            <w:vAlign w:val="center"/>
          </w:tcPr>
          <w:p>
            <w:pPr>
              <w:pStyle w:val="15"/>
            </w:pPr>
            <w:r>
              <w:t>城镇生活污水处理率</w:t>
            </w:r>
          </w:p>
        </w:tc>
        <w:tc>
          <w:tcPr>
            <w:tcW w:w="2551" w:type="dxa"/>
            <w:vAlign w:val="center"/>
          </w:tcPr>
          <w:p>
            <w:pPr>
              <w:pStyle w:val="15"/>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污水处理完成时间</w:t>
            </w:r>
          </w:p>
        </w:tc>
        <w:tc>
          <w:tcPr>
            <w:tcW w:w="3430" w:type="dxa"/>
            <w:vAlign w:val="center"/>
          </w:tcPr>
          <w:p>
            <w:pPr>
              <w:pStyle w:val="15"/>
            </w:pPr>
            <w:r>
              <w:t>污水处理完成时间</w:t>
            </w:r>
          </w:p>
        </w:tc>
        <w:tc>
          <w:tcPr>
            <w:tcW w:w="2551" w:type="dxa"/>
            <w:vAlign w:val="center"/>
          </w:tcPr>
          <w:p>
            <w:pPr>
              <w:pStyle w:val="15"/>
            </w:pPr>
            <w:r>
              <w:t>2025年底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污水处理单位成本</w:t>
            </w:r>
          </w:p>
        </w:tc>
        <w:tc>
          <w:tcPr>
            <w:tcW w:w="3430" w:type="dxa"/>
            <w:vAlign w:val="center"/>
          </w:tcPr>
          <w:p>
            <w:pPr>
              <w:pStyle w:val="15"/>
            </w:pPr>
            <w:r>
              <w:t>污水处理单位成本</w:t>
            </w:r>
          </w:p>
        </w:tc>
        <w:tc>
          <w:tcPr>
            <w:tcW w:w="2551" w:type="dxa"/>
            <w:vAlign w:val="center"/>
          </w:tcPr>
          <w:p>
            <w:pPr>
              <w:pStyle w:val="15"/>
            </w:pPr>
            <w:r>
              <w:t>≤5元/吨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生态效益指标</w:t>
            </w:r>
          </w:p>
        </w:tc>
        <w:tc>
          <w:tcPr>
            <w:tcW w:w="1332" w:type="dxa"/>
            <w:vAlign w:val="center"/>
          </w:tcPr>
          <w:p>
            <w:pPr>
              <w:pStyle w:val="15"/>
            </w:pPr>
            <w:r>
              <w:t>改善水环境</w:t>
            </w:r>
          </w:p>
        </w:tc>
        <w:tc>
          <w:tcPr>
            <w:tcW w:w="3430" w:type="dxa"/>
            <w:vAlign w:val="center"/>
          </w:tcPr>
          <w:p>
            <w:pPr>
              <w:pStyle w:val="15"/>
            </w:pPr>
            <w:r>
              <w:t>改善水环境</w:t>
            </w:r>
          </w:p>
        </w:tc>
        <w:tc>
          <w:tcPr>
            <w:tcW w:w="2551" w:type="dxa"/>
            <w:vAlign w:val="center"/>
          </w:tcPr>
          <w:p>
            <w:pPr>
              <w:pStyle w:val="15"/>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群众满意度</w:t>
            </w:r>
          </w:p>
        </w:tc>
        <w:tc>
          <w:tcPr>
            <w:tcW w:w="3430" w:type="dxa"/>
            <w:vAlign w:val="center"/>
          </w:tcPr>
          <w:p>
            <w:pPr>
              <w:pStyle w:val="15"/>
            </w:pPr>
            <w:r>
              <w:t>群众满意度</w:t>
            </w:r>
          </w:p>
        </w:tc>
        <w:tc>
          <w:tcPr>
            <w:tcW w:w="2551" w:type="dxa"/>
            <w:vAlign w:val="center"/>
          </w:tcPr>
          <w:p>
            <w:pPr>
              <w:pStyle w:val="15"/>
            </w:pPr>
            <w:r>
              <w:t>≥90%</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sz w:val="28"/>
        </w:rPr>
        <w:t xml:space="preserve"> </w:t>
      </w:r>
    </w:p>
    <w:p>
      <w:pPr>
        <w:ind w:firstLine="560"/>
        <w:outlineLvl w:val="3"/>
      </w:pPr>
      <w:bookmarkStart w:id="3" w:name="_Toc_4_4_0000000019"/>
      <w:r>
        <w:rPr>
          <w:rFonts w:hint="eastAsia" w:ascii="方正仿宋_GBK" w:hAnsi="方正仿宋_GBK" w:cs="方正仿宋_GBK" w:eastAsiaTheme="minorEastAsia"/>
          <w:sz w:val="28"/>
          <w:lang w:eastAsia="zh-CN"/>
        </w:rPr>
        <w:t>4</w:t>
      </w:r>
      <w:r>
        <w:rPr>
          <w:rFonts w:ascii="方正仿宋_GBK" w:hAnsi="方正仿宋_GBK" w:eastAsia="方正仿宋_GBK" w:cs="方正仿宋_GBK"/>
          <w:sz w:val="28"/>
        </w:rPr>
        <w:t>.*2025年污水处理费代征手续费绩效目标表</w:t>
      </w:r>
      <w:bookmarkEnd w:id="3"/>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*2025年污水处理费代征手续费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3000000.00</w:t>
            </w:r>
          </w:p>
        </w:tc>
        <w:tc>
          <w:tcPr>
            <w:tcW w:w="1587" w:type="dxa"/>
            <w:vAlign w:val="center"/>
          </w:tcPr>
          <w:p>
            <w:pPr>
              <w:pStyle w:val="16"/>
            </w:pPr>
            <w:r>
              <w:t>其中：财政    资金</w:t>
            </w:r>
          </w:p>
        </w:tc>
        <w:tc>
          <w:tcPr>
            <w:tcW w:w="1843" w:type="dxa"/>
            <w:vAlign w:val="center"/>
          </w:tcPr>
          <w:p>
            <w:pPr>
              <w:pStyle w:val="15"/>
            </w:pPr>
            <w:r>
              <w:t>3000000.00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通过及时支付污水处理费代征手续费，促进企业代征污水处理费的积极性</w:t>
            </w:r>
            <w:r>
              <w:tab/>
            </w:r>
            <w:r>
              <w:tab/>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1.通过及时支付污水处理费代征手续费，促进企业代征污水处理费的积极性</w:t>
            </w:r>
            <w:r>
              <w:tab/>
            </w:r>
            <w:r>
              <w:tab/>
            </w:r>
            <w:r>
              <w:tab/>
            </w:r>
            <w:r>
              <w:tab/>
            </w:r>
            <w:r>
              <w:tab/>
            </w:r>
            <w:r>
              <w:tab/>
            </w:r>
          </w:p>
          <w:p>
            <w:pPr>
              <w:pStyle w:val="15"/>
            </w:pPr>
          </w:p>
        </w:tc>
      </w:tr>
    </w:tbl>
    <w:p>
      <w:pPr>
        <w:spacing w:line="2" w:lineRule="exact"/>
        <w:jc w:val="center"/>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缴纳污水处理费的企业数量</w:t>
            </w:r>
          </w:p>
        </w:tc>
        <w:tc>
          <w:tcPr>
            <w:tcW w:w="3430" w:type="dxa"/>
            <w:vAlign w:val="center"/>
          </w:tcPr>
          <w:p>
            <w:pPr>
              <w:pStyle w:val="15"/>
            </w:pPr>
            <w:r>
              <w:t>缴纳污水处理费的企业数量</w:t>
            </w:r>
          </w:p>
        </w:tc>
        <w:tc>
          <w:tcPr>
            <w:tcW w:w="2551" w:type="dxa"/>
            <w:vAlign w:val="center"/>
          </w:tcPr>
          <w:p>
            <w:pPr>
              <w:pStyle w:val="15"/>
            </w:pPr>
            <w:r>
              <w:t>8家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代征污水水量</w:t>
            </w:r>
          </w:p>
        </w:tc>
        <w:tc>
          <w:tcPr>
            <w:tcW w:w="3430" w:type="dxa"/>
            <w:vAlign w:val="center"/>
          </w:tcPr>
          <w:p>
            <w:pPr>
              <w:pStyle w:val="15"/>
            </w:pPr>
            <w:r>
              <w:t>代征污水水量</w:t>
            </w:r>
          </w:p>
        </w:tc>
        <w:tc>
          <w:tcPr>
            <w:tcW w:w="2551" w:type="dxa"/>
            <w:vAlign w:val="center"/>
          </w:tcPr>
          <w:p>
            <w:pPr>
              <w:pStyle w:val="15"/>
            </w:pPr>
            <w:r>
              <w:t>≥10304万吨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水质达标率</w:t>
            </w:r>
          </w:p>
        </w:tc>
        <w:tc>
          <w:tcPr>
            <w:tcW w:w="3430" w:type="dxa"/>
            <w:vAlign w:val="center"/>
          </w:tcPr>
          <w:p>
            <w:pPr>
              <w:pStyle w:val="15"/>
            </w:pPr>
            <w:r>
              <w:t>水质达标率</w:t>
            </w:r>
          </w:p>
        </w:tc>
        <w:tc>
          <w:tcPr>
            <w:tcW w:w="2551" w:type="dxa"/>
            <w:vAlign w:val="center"/>
          </w:tcPr>
          <w:p>
            <w:pPr>
              <w:pStyle w:val="15"/>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手续费支付完成率</w:t>
            </w:r>
          </w:p>
        </w:tc>
        <w:tc>
          <w:tcPr>
            <w:tcW w:w="3430" w:type="dxa"/>
            <w:vAlign w:val="center"/>
          </w:tcPr>
          <w:p>
            <w:pPr>
              <w:pStyle w:val="15"/>
            </w:pPr>
            <w:r>
              <w:t>手续费支付完成率</w:t>
            </w:r>
          </w:p>
        </w:tc>
        <w:tc>
          <w:tcPr>
            <w:tcW w:w="2551" w:type="dxa"/>
            <w:vAlign w:val="center"/>
          </w:tcPr>
          <w:p>
            <w:pPr>
              <w:pStyle w:val="15"/>
            </w:pPr>
            <w:r>
              <w:t>≥80%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手续费支付完成时间</w:t>
            </w:r>
          </w:p>
        </w:tc>
        <w:tc>
          <w:tcPr>
            <w:tcW w:w="3430" w:type="dxa"/>
            <w:vAlign w:val="center"/>
          </w:tcPr>
          <w:p>
            <w:pPr>
              <w:pStyle w:val="15"/>
            </w:pPr>
            <w:r>
              <w:t>手续费支付完成时间</w:t>
            </w:r>
          </w:p>
        </w:tc>
        <w:tc>
          <w:tcPr>
            <w:tcW w:w="2551" w:type="dxa"/>
            <w:vAlign w:val="center"/>
          </w:tcPr>
          <w:p>
            <w:pPr>
              <w:pStyle w:val="15"/>
            </w:pPr>
            <w:r>
              <w:t>2025年底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支付污水处理费代征手续费</w:t>
            </w:r>
          </w:p>
        </w:tc>
        <w:tc>
          <w:tcPr>
            <w:tcW w:w="3430" w:type="dxa"/>
            <w:vAlign w:val="center"/>
          </w:tcPr>
          <w:p>
            <w:pPr>
              <w:pStyle w:val="15"/>
            </w:pPr>
            <w:r>
              <w:t>支付污水处理费代征手续费</w:t>
            </w:r>
          </w:p>
        </w:tc>
        <w:tc>
          <w:tcPr>
            <w:tcW w:w="2551" w:type="dxa"/>
            <w:vAlign w:val="center"/>
          </w:tcPr>
          <w:p>
            <w:pPr>
              <w:pStyle w:val="15"/>
            </w:pPr>
            <w:r>
              <w:t>≤300万元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生态效益指标</w:t>
            </w:r>
          </w:p>
        </w:tc>
        <w:tc>
          <w:tcPr>
            <w:tcW w:w="1332" w:type="dxa"/>
            <w:vAlign w:val="center"/>
          </w:tcPr>
          <w:p>
            <w:pPr>
              <w:pStyle w:val="15"/>
            </w:pPr>
            <w:r>
              <w:t>提升水污染防治能力</w:t>
            </w:r>
          </w:p>
        </w:tc>
        <w:tc>
          <w:tcPr>
            <w:tcW w:w="3430" w:type="dxa"/>
            <w:vAlign w:val="center"/>
          </w:tcPr>
          <w:p>
            <w:pPr>
              <w:pStyle w:val="15"/>
            </w:pPr>
            <w:r>
              <w:t>提升水污染防治能力</w:t>
            </w:r>
          </w:p>
        </w:tc>
        <w:tc>
          <w:tcPr>
            <w:tcW w:w="2551" w:type="dxa"/>
            <w:vAlign w:val="center"/>
          </w:tcPr>
          <w:p>
            <w:pPr>
              <w:pStyle w:val="15"/>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企业及居民的满意度</w:t>
            </w:r>
          </w:p>
        </w:tc>
        <w:tc>
          <w:tcPr>
            <w:tcW w:w="3430" w:type="dxa"/>
            <w:vAlign w:val="center"/>
          </w:tcPr>
          <w:p>
            <w:pPr>
              <w:pStyle w:val="15"/>
            </w:pPr>
            <w:r>
              <w:t>企业及居民的满意度</w:t>
            </w:r>
          </w:p>
        </w:tc>
        <w:tc>
          <w:tcPr>
            <w:tcW w:w="2551" w:type="dxa"/>
            <w:vAlign w:val="center"/>
          </w:tcPr>
          <w:p>
            <w:pPr>
              <w:pStyle w:val="15"/>
            </w:pPr>
            <w:r>
              <w:t>≥95%</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sz w:val="28"/>
        </w:rPr>
        <w:t xml:space="preserve"> </w:t>
      </w:r>
    </w:p>
    <w:p>
      <w:pPr>
        <w:ind w:firstLine="560"/>
        <w:outlineLvl w:val="3"/>
      </w:pPr>
      <w:bookmarkStart w:id="4" w:name="_Toc_4_4_0000000020"/>
      <w:r>
        <w:rPr>
          <w:rFonts w:hint="eastAsia" w:ascii="方正仿宋_GBK" w:hAnsi="方正仿宋_GBK" w:cs="方正仿宋_GBK" w:eastAsiaTheme="minorEastAsia"/>
          <w:sz w:val="28"/>
          <w:lang w:eastAsia="zh-CN"/>
        </w:rPr>
        <w:t>5</w:t>
      </w:r>
      <w:r>
        <w:rPr>
          <w:rFonts w:ascii="方正仿宋_GBK" w:hAnsi="方正仿宋_GBK" w:eastAsia="方正仿宋_GBK" w:cs="方正仿宋_GBK"/>
          <w:sz w:val="28"/>
        </w:rPr>
        <w:t>.*2025年污水处理支出——污水处理费（基金）绩效目标表</w:t>
      </w:r>
      <w:bookmarkEnd w:id="4"/>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*2025年污水处理支出——污水处理费（基金）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147000000.00</w:t>
            </w:r>
          </w:p>
        </w:tc>
        <w:tc>
          <w:tcPr>
            <w:tcW w:w="1587" w:type="dxa"/>
            <w:vAlign w:val="center"/>
          </w:tcPr>
          <w:p>
            <w:pPr>
              <w:pStyle w:val="16"/>
            </w:pPr>
            <w:r>
              <w:t>其中：财政    资金</w:t>
            </w:r>
          </w:p>
        </w:tc>
        <w:tc>
          <w:tcPr>
            <w:tcW w:w="1843" w:type="dxa"/>
            <w:vAlign w:val="center"/>
          </w:tcPr>
          <w:p>
            <w:pPr>
              <w:pStyle w:val="15"/>
            </w:pPr>
            <w:r>
              <w:t>147000000.00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通过对污水进行处理，改善水环境</w:t>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1.通过对污水进行处理，改善水环境</w:t>
            </w:r>
            <w:r>
              <w:tab/>
            </w:r>
            <w:r>
              <w:tab/>
            </w:r>
            <w:r>
              <w:tab/>
            </w:r>
            <w:r>
              <w:tab/>
            </w:r>
            <w:r>
              <w:tab/>
            </w:r>
            <w:r>
              <w:tab/>
            </w:r>
          </w:p>
        </w:tc>
      </w:tr>
    </w:tbl>
    <w:p>
      <w:pPr>
        <w:spacing w:line="2" w:lineRule="exact"/>
        <w:jc w:val="center"/>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污水处理厂数量</w:t>
            </w:r>
          </w:p>
        </w:tc>
        <w:tc>
          <w:tcPr>
            <w:tcW w:w="3430" w:type="dxa"/>
            <w:vAlign w:val="center"/>
          </w:tcPr>
          <w:p>
            <w:pPr>
              <w:pStyle w:val="15"/>
            </w:pPr>
            <w:r>
              <w:t>污水处理厂数量</w:t>
            </w:r>
          </w:p>
        </w:tc>
        <w:tc>
          <w:tcPr>
            <w:tcW w:w="2551" w:type="dxa"/>
            <w:vAlign w:val="center"/>
          </w:tcPr>
          <w:p>
            <w:pPr>
              <w:pStyle w:val="15"/>
            </w:pPr>
            <w:r>
              <w:t>≥12座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全年预计污水处理量</w:t>
            </w:r>
          </w:p>
        </w:tc>
        <w:tc>
          <w:tcPr>
            <w:tcW w:w="3430" w:type="dxa"/>
            <w:vAlign w:val="center"/>
          </w:tcPr>
          <w:p>
            <w:pPr>
              <w:pStyle w:val="15"/>
            </w:pPr>
            <w:r>
              <w:t>全年预计污水处理量</w:t>
            </w:r>
          </w:p>
        </w:tc>
        <w:tc>
          <w:tcPr>
            <w:tcW w:w="2551" w:type="dxa"/>
            <w:vAlign w:val="center"/>
          </w:tcPr>
          <w:p>
            <w:pPr>
              <w:pStyle w:val="15"/>
            </w:pPr>
            <w:r>
              <w:t>≥2940万吨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污水处理出水水质达标率</w:t>
            </w:r>
          </w:p>
        </w:tc>
        <w:tc>
          <w:tcPr>
            <w:tcW w:w="3430" w:type="dxa"/>
            <w:vAlign w:val="center"/>
          </w:tcPr>
          <w:p>
            <w:pPr>
              <w:pStyle w:val="15"/>
            </w:pPr>
            <w:r>
              <w:t>污水处理出水水质达标率</w:t>
            </w:r>
          </w:p>
        </w:tc>
        <w:tc>
          <w:tcPr>
            <w:tcW w:w="2551" w:type="dxa"/>
            <w:vAlign w:val="center"/>
          </w:tcPr>
          <w:p>
            <w:pPr>
              <w:pStyle w:val="15"/>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城镇生活污水处理率</w:t>
            </w:r>
          </w:p>
        </w:tc>
        <w:tc>
          <w:tcPr>
            <w:tcW w:w="3430" w:type="dxa"/>
            <w:vAlign w:val="center"/>
          </w:tcPr>
          <w:p>
            <w:pPr>
              <w:pStyle w:val="15"/>
            </w:pPr>
            <w:r>
              <w:t>城镇生活污水处理率</w:t>
            </w:r>
          </w:p>
        </w:tc>
        <w:tc>
          <w:tcPr>
            <w:tcW w:w="2551" w:type="dxa"/>
            <w:vAlign w:val="center"/>
          </w:tcPr>
          <w:p>
            <w:pPr>
              <w:pStyle w:val="15"/>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污水处理完成时间</w:t>
            </w:r>
          </w:p>
        </w:tc>
        <w:tc>
          <w:tcPr>
            <w:tcW w:w="3430" w:type="dxa"/>
            <w:vAlign w:val="center"/>
          </w:tcPr>
          <w:p>
            <w:pPr>
              <w:pStyle w:val="15"/>
            </w:pPr>
            <w:r>
              <w:t>污水处理完成时间</w:t>
            </w:r>
          </w:p>
        </w:tc>
        <w:tc>
          <w:tcPr>
            <w:tcW w:w="2551" w:type="dxa"/>
            <w:vAlign w:val="center"/>
          </w:tcPr>
          <w:p>
            <w:pPr>
              <w:pStyle w:val="15"/>
            </w:pPr>
            <w:r>
              <w:t>2025年底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污水处理单位成本</w:t>
            </w:r>
          </w:p>
        </w:tc>
        <w:tc>
          <w:tcPr>
            <w:tcW w:w="3430" w:type="dxa"/>
            <w:vAlign w:val="center"/>
          </w:tcPr>
          <w:p>
            <w:pPr>
              <w:pStyle w:val="15"/>
            </w:pPr>
            <w:r>
              <w:t>污水处理单位成本</w:t>
            </w:r>
          </w:p>
        </w:tc>
        <w:tc>
          <w:tcPr>
            <w:tcW w:w="2551" w:type="dxa"/>
            <w:vAlign w:val="center"/>
          </w:tcPr>
          <w:p>
            <w:pPr>
              <w:pStyle w:val="15"/>
            </w:pPr>
            <w:r>
              <w:t>≤5元/吨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生态效益指标</w:t>
            </w:r>
          </w:p>
        </w:tc>
        <w:tc>
          <w:tcPr>
            <w:tcW w:w="1332" w:type="dxa"/>
            <w:vAlign w:val="center"/>
          </w:tcPr>
          <w:p>
            <w:pPr>
              <w:pStyle w:val="15"/>
            </w:pPr>
            <w:r>
              <w:t>改善水环境</w:t>
            </w:r>
          </w:p>
        </w:tc>
        <w:tc>
          <w:tcPr>
            <w:tcW w:w="3430" w:type="dxa"/>
            <w:vAlign w:val="center"/>
          </w:tcPr>
          <w:p>
            <w:pPr>
              <w:pStyle w:val="15"/>
            </w:pPr>
            <w:r>
              <w:t>改善水环境</w:t>
            </w:r>
          </w:p>
        </w:tc>
        <w:tc>
          <w:tcPr>
            <w:tcW w:w="2551" w:type="dxa"/>
            <w:vAlign w:val="center"/>
          </w:tcPr>
          <w:p>
            <w:pPr>
              <w:pStyle w:val="15"/>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群众满意度</w:t>
            </w:r>
          </w:p>
        </w:tc>
        <w:tc>
          <w:tcPr>
            <w:tcW w:w="3430" w:type="dxa"/>
            <w:vAlign w:val="center"/>
          </w:tcPr>
          <w:p>
            <w:pPr>
              <w:pStyle w:val="15"/>
            </w:pPr>
            <w:r>
              <w:t>群众满意度</w:t>
            </w:r>
          </w:p>
        </w:tc>
        <w:tc>
          <w:tcPr>
            <w:tcW w:w="2551" w:type="dxa"/>
            <w:vAlign w:val="center"/>
          </w:tcPr>
          <w:p>
            <w:pPr>
              <w:pStyle w:val="15"/>
            </w:pPr>
            <w:r>
              <w:t>≥90%</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sz w:val="28"/>
        </w:rPr>
        <w:t xml:space="preserve"> </w:t>
      </w:r>
    </w:p>
    <w:p>
      <w:pPr>
        <w:ind w:firstLine="560"/>
        <w:outlineLvl w:val="3"/>
      </w:pPr>
      <w:bookmarkStart w:id="5" w:name="_Toc_4_4_0000000021"/>
      <w:r>
        <w:rPr>
          <w:rFonts w:hint="eastAsia" w:ascii="方正仿宋_GBK" w:hAnsi="方正仿宋_GBK" w:cs="方正仿宋_GBK" w:eastAsiaTheme="minorEastAsia"/>
          <w:sz w:val="28"/>
          <w:lang w:eastAsia="zh-CN"/>
        </w:rPr>
        <w:t>6</w:t>
      </w:r>
      <w:r>
        <w:rPr>
          <w:rFonts w:ascii="方正仿宋_GBK" w:hAnsi="方正仿宋_GBK" w:eastAsia="方正仿宋_GBK" w:cs="方正仿宋_GBK"/>
          <w:sz w:val="28"/>
        </w:rPr>
        <w:t>.2025年编制外长聘-机关事业单位辅助人员（农业社保室）绩效目标表</w:t>
      </w:r>
      <w:bookmarkEnd w:id="5"/>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2025年编制外长聘-机关事业单位辅助人员（农业社保室）</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4226343.72</w:t>
            </w:r>
          </w:p>
        </w:tc>
        <w:tc>
          <w:tcPr>
            <w:tcW w:w="1587" w:type="dxa"/>
            <w:vAlign w:val="center"/>
          </w:tcPr>
          <w:p>
            <w:pPr>
              <w:pStyle w:val="16"/>
            </w:pPr>
            <w:r>
              <w:t>其中：财政    资金</w:t>
            </w:r>
          </w:p>
        </w:tc>
        <w:tc>
          <w:tcPr>
            <w:tcW w:w="1843" w:type="dxa"/>
            <w:vAlign w:val="center"/>
          </w:tcPr>
          <w:p>
            <w:pPr>
              <w:pStyle w:val="15"/>
            </w:pPr>
            <w:r>
              <w:t>4226343.72</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PrEx>
        <w:trPr>
          <w:trHeight w:val="369" w:hRule="atLeast"/>
          <w:jc w:val="center"/>
        </w:trPr>
        <w:tc>
          <w:tcPr>
            <w:tcW w:w="1276" w:type="dxa"/>
            <w:vMerge w:val="continue"/>
          </w:tcPr>
          <w:p/>
        </w:tc>
        <w:tc>
          <w:tcPr>
            <w:tcW w:w="8589" w:type="dxa"/>
            <w:gridSpan w:val="6"/>
            <w:vAlign w:val="center"/>
          </w:tcPr>
          <w:p>
            <w:pPr>
              <w:pStyle w:val="15"/>
            </w:pPr>
            <w:r>
              <w:t>通过发放多种用工派遣人员工作经费，保障派遣员工的基本合法权益，保障工作顺利推进。</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1.通过发放多种用工派遣人员工作经费，保障派遣员工的基本合法权益，保障工作顺利推进。</w:t>
            </w:r>
          </w:p>
        </w:tc>
      </w:tr>
    </w:tbl>
    <w:p>
      <w:pPr>
        <w:spacing w:line="2" w:lineRule="exact"/>
        <w:jc w:val="center"/>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多种用工人员经费发放人数</w:t>
            </w:r>
          </w:p>
        </w:tc>
        <w:tc>
          <w:tcPr>
            <w:tcW w:w="3430" w:type="dxa"/>
            <w:vAlign w:val="center"/>
          </w:tcPr>
          <w:p>
            <w:pPr>
              <w:pStyle w:val="15"/>
            </w:pPr>
            <w:r>
              <w:t>通过考量实际多种用工人员经费发放人数，反映多种用工人员经费发放工作开展的完成情况。</w:t>
            </w:r>
          </w:p>
        </w:tc>
        <w:tc>
          <w:tcPr>
            <w:tcW w:w="2551" w:type="dxa"/>
            <w:vAlign w:val="center"/>
          </w:tcPr>
          <w:p>
            <w:pPr>
              <w:pStyle w:val="15"/>
            </w:pPr>
            <w:r>
              <w:t>≥91人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多种用工人员经费发放准确率</w:t>
            </w:r>
          </w:p>
        </w:tc>
        <w:tc>
          <w:tcPr>
            <w:tcW w:w="3430" w:type="dxa"/>
            <w:vAlign w:val="center"/>
          </w:tcPr>
          <w:p>
            <w:pPr>
              <w:pStyle w:val="15"/>
            </w:pPr>
            <w:r>
              <w:t>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2551"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多种用工人员经费发放完成时间</w:t>
            </w:r>
          </w:p>
        </w:tc>
        <w:tc>
          <w:tcPr>
            <w:tcW w:w="3430" w:type="dxa"/>
            <w:vAlign w:val="center"/>
          </w:tcPr>
          <w:p>
            <w:pPr>
              <w:pStyle w:val="15"/>
            </w:pPr>
            <w:r>
              <w:t>通过考量实际多种用工人员经费发放完成时间，反映多种用工人员经费发放工作开展的完成情况。</w:t>
            </w:r>
          </w:p>
        </w:tc>
        <w:tc>
          <w:tcPr>
            <w:tcW w:w="2551" w:type="dxa"/>
            <w:vAlign w:val="center"/>
          </w:tcPr>
          <w:p>
            <w:pPr>
              <w:pStyle w:val="15"/>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多种用工人员经费标准</w:t>
            </w:r>
          </w:p>
        </w:tc>
        <w:tc>
          <w:tcPr>
            <w:tcW w:w="3430" w:type="dxa"/>
            <w:vAlign w:val="center"/>
          </w:tcPr>
          <w:p>
            <w:pPr>
              <w:pStyle w:val="15"/>
            </w:pPr>
            <w:r>
              <w:t>通过实际支出标准与规定支出标准比对，反映多种用工人员经费支出标准的符合情况。</w:t>
            </w:r>
          </w:p>
        </w:tc>
        <w:tc>
          <w:tcPr>
            <w:tcW w:w="2551" w:type="dxa"/>
            <w:vAlign w:val="center"/>
          </w:tcPr>
          <w:p>
            <w:pPr>
              <w:pStyle w:val="15"/>
            </w:pPr>
            <w:r>
              <w:t>≤46443万元/年/人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多种用工人员到岗率</w:t>
            </w:r>
          </w:p>
        </w:tc>
        <w:tc>
          <w:tcPr>
            <w:tcW w:w="3430" w:type="dxa"/>
            <w:vAlign w:val="center"/>
          </w:tcPr>
          <w:p>
            <w:pPr>
              <w:pStyle w:val="15"/>
            </w:pPr>
            <w:r>
              <w:t>通过实际多种用工人员到岗人数与多种用工人员应到岗人数比对，反映多种用工人员的到岗情况。计算公式：多种用工人员到岗率=实际到岗人数÷应到岗人数×100%</w:t>
            </w:r>
          </w:p>
        </w:tc>
        <w:tc>
          <w:tcPr>
            <w:tcW w:w="2551"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可持续影响指标</w:t>
            </w:r>
          </w:p>
        </w:tc>
        <w:tc>
          <w:tcPr>
            <w:tcW w:w="1332" w:type="dxa"/>
            <w:vAlign w:val="center"/>
          </w:tcPr>
          <w:p>
            <w:pPr>
              <w:pStyle w:val="15"/>
            </w:pPr>
            <w:r>
              <w:t>完善多种用工人员经费管理制度</w:t>
            </w:r>
          </w:p>
        </w:tc>
        <w:tc>
          <w:tcPr>
            <w:tcW w:w="3430" w:type="dxa"/>
            <w:vAlign w:val="center"/>
          </w:tcPr>
          <w:p>
            <w:pPr>
              <w:pStyle w:val="15"/>
            </w:pPr>
            <w:r>
              <w:t>通过多种用工人员经费管理制度或办法的完善情况，反映多种用工人员经费管理工作开展的长效保障效果。</w:t>
            </w:r>
          </w:p>
        </w:tc>
        <w:tc>
          <w:tcPr>
            <w:tcW w:w="2551" w:type="dxa"/>
            <w:vAlign w:val="center"/>
          </w:tcPr>
          <w:p>
            <w:pPr>
              <w:pStyle w:val="15"/>
            </w:pPr>
            <w:r>
              <w:t>持续有效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多种用工人员满意度</w:t>
            </w:r>
          </w:p>
        </w:tc>
        <w:tc>
          <w:tcPr>
            <w:tcW w:w="3430" w:type="dxa"/>
            <w:vAlign w:val="center"/>
          </w:tcPr>
          <w:p>
            <w:pPr>
              <w:pStyle w:val="15"/>
            </w:pPr>
            <w:r>
              <w:t>通过调查问卷中满意人数与调查总人数的比率，反映被调查对象对本项目的满意程度。计算公式：各类问题满意人数÷调查总人数×100%</w:t>
            </w:r>
          </w:p>
        </w:tc>
        <w:tc>
          <w:tcPr>
            <w:tcW w:w="2551" w:type="dxa"/>
            <w:vAlign w:val="center"/>
          </w:tcPr>
          <w:p>
            <w:pPr>
              <w:pStyle w:val="15"/>
            </w:pPr>
            <w:r>
              <w:t>≥90%</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sz w:val="28"/>
        </w:rPr>
        <w:t xml:space="preserve"> </w:t>
      </w:r>
    </w:p>
    <w:p>
      <w:pPr>
        <w:ind w:firstLine="560"/>
        <w:outlineLvl w:val="3"/>
      </w:pPr>
      <w:bookmarkStart w:id="6" w:name="_Toc_4_4_0000000022"/>
      <w:r>
        <w:rPr>
          <w:rFonts w:hint="eastAsia" w:ascii="方正仿宋_GBK" w:hAnsi="方正仿宋_GBK" w:cs="方正仿宋_GBK" w:eastAsiaTheme="minorEastAsia"/>
          <w:sz w:val="28"/>
          <w:lang w:eastAsia="zh-CN"/>
        </w:rPr>
        <w:t>7</w:t>
      </w:r>
      <w:r>
        <w:rPr>
          <w:rFonts w:ascii="方正仿宋_GBK" w:hAnsi="方正仿宋_GBK" w:eastAsia="方正仿宋_GBK" w:cs="方正仿宋_GBK"/>
          <w:sz w:val="28"/>
        </w:rPr>
        <w:t>.2025年防汛物资采购绩效目标表</w:t>
      </w:r>
      <w:bookmarkEnd w:id="6"/>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2025年防汛物资采购</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1000000.00</w:t>
            </w:r>
          </w:p>
        </w:tc>
        <w:tc>
          <w:tcPr>
            <w:tcW w:w="1587" w:type="dxa"/>
            <w:vAlign w:val="center"/>
          </w:tcPr>
          <w:p>
            <w:pPr>
              <w:pStyle w:val="16"/>
            </w:pPr>
            <w:r>
              <w:t>其中：财政    资金</w:t>
            </w:r>
          </w:p>
        </w:tc>
        <w:tc>
          <w:tcPr>
            <w:tcW w:w="1843" w:type="dxa"/>
            <w:vAlign w:val="center"/>
          </w:tcPr>
          <w:p>
            <w:pPr>
              <w:pStyle w:val="15"/>
            </w:pPr>
            <w:r>
              <w:t>1000000.00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PrEx>
        <w:trPr>
          <w:trHeight w:val="369" w:hRule="atLeast"/>
          <w:jc w:val="center"/>
        </w:trPr>
        <w:tc>
          <w:tcPr>
            <w:tcW w:w="1276" w:type="dxa"/>
            <w:vMerge w:val="continue"/>
          </w:tcPr>
          <w:p/>
        </w:tc>
        <w:tc>
          <w:tcPr>
            <w:tcW w:w="8589" w:type="dxa"/>
            <w:gridSpan w:val="6"/>
            <w:vAlign w:val="center"/>
          </w:tcPr>
          <w:p>
            <w:pPr>
              <w:pStyle w:val="15"/>
            </w:pPr>
            <w:r>
              <w:t>根据防汛物资储备及应急抢险需求，需更新补充防汛物资，保障安全度汛。</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1.根据防汛物资储备及应急抢险需求，需更新补充防汛物资，保障安全度汛。</w:t>
            </w:r>
            <w:r>
              <w:tab/>
            </w:r>
            <w:r>
              <w:tab/>
            </w:r>
            <w:r>
              <w:tab/>
            </w:r>
            <w:r>
              <w:tab/>
            </w:r>
            <w:r>
              <w:tab/>
            </w:r>
            <w:r>
              <w:tab/>
            </w:r>
          </w:p>
        </w:tc>
      </w:tr>
    </w:tbl>
    <w:p>
      <w:pPr>
        <w:spacing w:line="2" w:lineRule="exact"/>
        <w:jc w:val="center"/>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购置电缆（3*2.5*1mm2）长度</w:t>
            </w:r>
          </w:p>
        </w:tc>
        <w:tc>
          <w:tcPr>
            <w:tcW w:w="3430" w:type="dxa"/>
            <w:vAlign w:val="center"/>
          </w:tcPr>
          <w:p>
            <w:pPr>
              <w:pStyle w:val="15"/>
            </w:pPr>
            <w:r>
              <w:t>购置电缆（3*2.5*1mm2）长度</w:t>
            </w:r>
          </w:p>
        </w:tc>
        <w:tc>
          <w:tcPr>
            <w:tcW w:w="2551" w:type="dxa"/>
            <w:vAlign w:val="center"/>
          </w:tcPr>
          <w:p>
            <w:pPr>
              <w:pStyle w:val="15"/>
            </w:pPr>
            <w:r>
              <w:t>≥1400米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购置救生衣数量</w:t>
            </w:r>
          </w:p>
        </w:tc>
        <w:tc>
          <w:tcPr>
            <w:tcW w:w="3430" w:type="dxa"/>
            <w:vAlign w:val="center"/>
          </w:tcPr>
          <w:p>
            <w:pPr>
              <w:pStyle w:val="15"/>
            </w:pPr>
            <w:r>
              <w:t>购置救生衣数量</w:t>
            </w:r>
          </w:p>
        </w:tc>
        <w:tc>
          <w:tcPr>
            <w:tcW w:w="2551" w:type="dxa"/>
            <w:vAlign w:val="center"/>
          </w:tcPr>
          <w:p>
            <w:pPr>
              <w:pStyle w:val="15"/>
            </w:pPr>
            <w:r>
              <w:t>≥5500件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橡皮舟（带发动机）</w:t>
            </w:r>
          </w:p>
        </w:tc>
        <w:tc>
          <w:tcPr>
            <w:tcW w:w="3430" w:type="dxa"/>
            <w:vAlign w:val="center"/>
          </w:tcPr>
          <w:p>
            <w:pPr>
              <w:pStyle w:val="15"/>
            </w:pPr>
            <w:r>
              <w:t>购置橡皮舟（带发动机）数量</w:t>
            </w:r>
          </w:p>
        </w:tc>
        <w:tc>
          <w:tcPr>
            <w:tcW w:w="2551" w:type="dxa"/>
            <w:vAlign w:val="center"/>
          </w:tcPr>
          <w:p>
            <w:pPr>
              <w:pStyle w:val="15"/>
            </w:pPr>
            <w:r>
              <w:t>≥4只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购置尼龙绳长度</w:t>
            </w:r>
          </w:p>
        </w:tc>
        <w:tc>
          <w:tcPr>
            <w:tcW w:w="3430" w:type="dxa"/>
            <w:vAlign w:val="center"/>
          </w:tcPr>
          <w:p>
            <w:pPr>
              <w:pStyle w:val="15"/>
            </w:pPr>
            <w:r>
              <w:t>购置尼龙绳长度</w:t>
            </w:r>
          </w:p>
        </w:tc>
        <w:tc>
          <w:tcPr>
            <w:tcW w:w="2551" w:type="dxa"/>
            <w:vAlign w:val="center"/>
          </w:tcPr>
          <w:p>
            <w:pPr>
              <w:pStyle w:val="15"/>
            </w:pPr>
            <w:r>
              <w:t>≥200米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购置苫布数量</w:t>
            </w:r>
          </w:p>
        </w:tc>
        <w:tc>
          <w:tcPr>
            <w:tcW w:w="3430" w:type="dxa"/>
            <w:vAlign w:val="center"/>
          </w:tcPr>
          <w:p>
            <w:pPr>
              <w:pStyle w:val="15"/>
            </w:pPr>
            <w:r>
              <w:t>购置苫布数量</w:t>
            </w:r>
          </w:p>
        </w:tc>
        <w:tc>
          <w:tcPr>
            <w:tcW w:w="2551" w:type="dxa"/>
            <w:vAlign w:val="center"/>
          </w:tcPr>
          <w:p>
            <w:pPr>
              <w:pStyle w:val="15"/>
            </w:pPr>
            <w:r>
              <w:t>≥96平方米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购置木桩数量</w:t>
            </w:r>
          </w:p>
        </w:tc>
        <w:tc>
          <w:tcPr>
            <w:tcW w:w="3430" w:type="dxa"/>
            <w:vAlign w:val="center"/>
          </w:tcPr>
          <w:p>
            <w:pPr>
              <w:pStyle w:val="15"/>
            </w:pPr>
            <w:r>
              <w:t>购置木桩数量</w:t>
            </w:r>
          </w:p>
        </w:tc>
        <w:tc>
          <w:tcPr>
            <w:tcW w:w="2551" w:type="dxa"/>
            <w:vAlign w:val="center"/>
          </w:tcPr>
          <w:p>
            <w:pPr>
              <w:pStyle w:val="15"/>
            </w:pPr>
            <w:r>
              <w:t>≥205.5立方米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补充物资采购成本</w:t>
            </w:r>
          </w:p>
        </w:tc>
        <w:tc>
          <w:tcPr>
            <w:tcW w:w="3430" w:type="dxa"/>
            <w:vAlign w:val="center"/>
          </w:tcPr>
          <w:p>
            <w:pPr>
              <w:pStyle w:val="15"/>
            </w:pPr>
            <w:r>
              <w:t>补充物资采购成本</w:t>
            </w:r>
          </w:p>
        </w:tc>
        <w:tc>
          <w:tcPr>
            <w:tcW w:w="2551" w:type="dxa"/>
            <w:vAlign w:val="center"/>
          </w:tcPr>
          <w:p>
            <w:pPr>
              <w:pStyle w:val="15"/>
            </w:pPr>
            <w:r>
              <w:t>≤100万元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补充物资正常使用率</w:t>
            </w:r>
          </w:p>
        </w:tc>
        <w:tc>
          <w:tcPr>
            <w:tcW w:w="3430" w:type="dxa"/>
            <w:vAlign w:val="center"/>
          </w:tcPr>
          <w:p>
            <w:pPr>
              <w:pStyle w:val="15"/>
            </w:pPr>
            <w:r>
              <w:t>补充物资正常使用率</w:t>
            </w:r>
          </w:p>
        </w:tc>
        <w:tc>
          <w:tcPr>
            <w:tcW w:w="2551" w:type="dxa"/>
            <w:vAlign w:val="center"/>
          </w:tcPr>
          <w:p>
            <w:pPr>
              <w:pStyle w:val="15"/>
            </w:pPr>
            <w:r>
              <w:t>≥98%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产品合格率</w:t>
            </w:r>
          </w:p>
        </w:tc>
        <w:tc>
          <w:tcPr>
            <w:tcW w:w="3430" w:type="dxa"/>
            <w:vAlign w:val="center"/>
          </w:tcPr>
          <w:p>
            <w:pPr>
              <w:pStyle w:val="15"/>
            </w:pPr>
            <w:r>
              <w:t>产品合格率</w:t>
            </w:r>
          </w:p>
        </w:tc>
        <w:tc>
          <w:tcPr>
            <w:tcW w:w="2551" w:type="dxa"/>
            <w:vAlign w:val="center"/>
          </w:tcPr>
          <w:p>
            <w:pPr>
              <w:pStyle w:val="15"/>
            </w:pPr>
            <w:r>
              <w:t>≥98%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采购完成时间</w:t>
            </w:r>
          </w:p>
        </w:tc>
        <w:tc>
          <w:tcPr>
            <w:tcW w:w="3430" w:type="dxa"/>
            <w:vAlign w:val="center"/>
          </w:tcPr>
          <w:p>
            <w:pPr>
              <w:pStyle w:val="15"/>
            </w:pPr>
            <w:r>
              <w:t>采购完成时间</w:t>
            </w:r>
          </w:p>
        </w:tc>
        <w:tc>
          <w:tcPr>
            <w:tcW w:w="2551" w:type="dxa"/>
            <w:vAlign w:val="center"/>
          </w:tcPr>
          <w:p>
            <w:pPr>
              <w:pStyle w:val="15"/>
            </w:pPr>
            <w:r>
              <w:t>2025年10月底前完成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保障汛期能及时使用</w:t>
            </w:r>
          </w:p>
        </w:tc>
        <w:tc>
          <w:tcPr>
            <w:tcW w:w="3430" w:type="dxa"/>
            <w:vAlign w:val="center"/>
          </w:tcPr>
          <w:p>
            <w:pPr>
              <w:pStyle w:val="15"/>
            </w:pPr>
            <w:r>
              <w:t>保障汛期能及时使用</w:t>
            </w:r>
          </w:p>
        </w:tc>
        <w:tc>
          <w:tcPr>
            <w:tcW w:w="2551" w:type="dxa"/>
            <w:vAlign w:val="center"/>
          </w:tcPr>
          <w:p>
            <w:pPr>
              <w:pStyle w:val="15"/>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使用部门满意度</w:t>
            </w:r>
          </w:p>
        </w:tc>
        <w:tc>
          <w:tcPr>
            <w:tcW w:w="3430" w:type="dxa"/>
            <w:vAlign w:val="center"/>
          </w:tcPr>
          <w:p>
            <w:pPr>
              <w:pStyle w:val="15"/>
            </w:pPr>
            <w:r>
              <w:t>使用部门满意度</w:t>
            </w:r>
          </w:p>
        </w:tc>
        <w:tc>
          <w:tcPr>
            <w:tcW w:w="2551" w:type="dxa"/>
            <w:vAlign w:val="center"/>
          </w:tcPr>
          <w:p>
            <w:pPr>
              <w:pStyle w:val="15"/>
            </w:pPr>
            <w:r>
              <w:t>≥95%</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sz w:val="28"/>
        </w:rPr>
        <w:t xml:space="preserve"> </w:t>
      </w:r>
    </w:p>
    <w:p>
      <w:pPr>
        <w:ind w:firstLine="560"/>
        <w:outlineLvl w:val="3"/>
      </w:pPr>
      <w:bookmarkStart w:id="7" w:name="_Toc_4_4_0000000023"/>
      <w:r>
        <w:rPr>
          <w:rFonts w:hint="eastAsia" w:ascii="方正仿宋_GBK" w:hAnsi="方正仿宋_GBK" w:cs="方正仿宋_GBK" w:eastAsiaTheme="minorEastAsia"/>
          <w:sz w:val="28"/>
          <w:lang w:eastAsia="zh-CN"/>
        </w:rPr>
        <w:t>8</w:t>
      </w:r>
      <w:r>
        <w:rPr>
          <w:rFonts w:ascii="方正仿宋_GBK" w:hAnsi="方正仿宋_GBK" w:eastAsia="方正仿宋_GBK" w:cs="方正仿宋_GBK"/>
          <w:sz w:val="28"/>
        </w:rPr>
        <w:t>.2025年排灌中心劳务派遣人员工资绩效目标表</w:t>
      </w:r>
      <w:bookmarkEnd w:id="7"/>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2025年排灌中心劳务派遣人员工资</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460000.00</w:t>
            </w:r>
          </w:p>
        </w:tc>
        <w:tc>
          <w:tcPr>
            <w:tcW w:w="1587" w:type="dxa"/>
            <w:vAlign w:val="center"/>
          </w:tcPr>
          <w:p>
            <w:pPr>
              <w:pStyle w:val="16"/>
            </w:pPr>
            <w:r>
              <w:t>其中：财政    资金</w:t>
            </w:r>
          </w:p>
        </w:tc>
        <w:tc>
          <w:tcPr>
            <w:tcW w:w="1843" w:type="dxa"/>
            <w:vAlign w:val="center"/>
          </w:tcPr>
          <w:p>
            <w:pPr>
              <w:pStyle w:val="15"/>
            </w:pPr>
            <w:r>
              <w:t>460000.00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PrEx>
        <w:trPr>
          <w:trHeight w:val="369" w:hRule="atLeast"/>
          <w:jc w:val="center"/>
        </w:trPr>
        <w:tc>
          <w:tcPr>
            <w:tcW w:w="1276" w:type="dxa"/>
            <w:vMerge w:val="continue"/>
          </w:tcPr>
          <w:p/>
        </w:tc>
        <w:tc>
          <w:tcPr>
            <w:tcW w:w="8589" w:type="dxa"/>
            <w:gridSpan w:val="6"/>
            <w:vAlign w:val="center"/>
          </w:tcPr>
          <w:p>
            <w:pPr>
              <w:pStyle w:val="15"/>
            </w:pPr>
            <w:r>
              <w:t>通过及时支付劳务派遣人员工资，确保泵站安全运行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1.通过及时支付劳务派遣人员工资，确保泵站安全运行</w:t>
            </w:r>
          </w:p>
        </w:tc>
      </w:tr>
    </w:tbl>
    <w:p>
      <w:pPr>
        <w:spacing w:line="2" w:lineRule="exact"/>
        <w:jc w:val="center"/>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成本指标</w:t>
            </w:r>
          </w:p>
        </w:tc>
        <w:tc>
          <w:tcPr>
            <w:tcW w:w="1332" w:type="dxa"/>
            <w:vAlign w:val="center"/>
          </w:tcPr>
          <w:p>
            <w:pPr>
              <w:pStyle w:val="15"/>
            </w:pPr>
            <w:r>
              <w:t>服务人员工资等</w:t>
            </w:r>
          </w:p>
        </w:tc>
        <w:tc>
          <w:tcPr>
            <w:tcW w:w="3430" w:type="dxa"/>
            <w:vAlign w:val="center"/>
          </w:tcPr>
          <w:p>
            <w:pPr>
              <w:pStyle w:val="15"/>
            </w:pPr>
            <w:r>
              <w:t>服务人员工资等</w:t>
            </w:r>
          </w:p>
        </w:tc>
        <w:tc>
          <w:tcPr>
            <w:tcW w:w="2551" w:type="dxa"/>
            <w:vAlign w:val="center"/>
          </w:tcPr>
          <w:p>
            <w:pPr>
              <w:pStyle w:val="15"/>
            </w:pPr>
            <w:r>
              <w:t>≤46万元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运维人员</w:t>
            </w:r>
          </w:p>
        </w:tc>
        <w:tc>
          <w:tcPr>
            <w:tcW w:w="3430" w:type="dxa"/>
            <w:vAlign w:val="center"/>
          </w:tcPr>
          <w:p>
            <w:pPr>
              <w:pStyle w:val="15"/>
            </w:pPr>
            <w:r>
              <w:t>运维人员</w:t>
            </w:r>
          </w:p>
        </w:tc>
        <w:tc>
          <w:tcPr>
            <w:tcW w:w="2551" w:type="dxa"/>
            <w:vAlign w:val="center"/>
          </w:tcPr>
          <w:p>
            <w:pPr>
              <w:pStyle w:val="15"/>
            </w:pPr>
            <w:r>
              <w:t>7人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泵站安全运行保障率</w:t>
            </w:r>
          </w:p>
        </w:tc>
        <w:tc>
          <w:tcPr>
            <w:tcW w:w="3430" w:type="dxa"/>
            <w:vAlign w:val="center"/>
          </w:tcPr>
          <w:p>
            <w:pPr>
              <w:pStyle w:val="15"/>
            </w:pPr>
            <w:r>
              <w:t>泵站安全运行保障率</w:t>
            </w:r>
          </w:p>
        </w:tc>
        <w:tc>
          <w:tcPr>
            <w:tcW w:w="2551" w:type="dxa"/>
            <w:vAlign w:val="center"/>
          </w:tcPr>
          <w:p>
            <w:pPr>
              <w:pStyle w:val="15"/>
            </w:pPr>
            <w:r>
              <w:t>≥85%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工资发放时间</w:t>
            </w:r>
          </w:p>
        </w:tc>
        <w:tc>
          <w:tcPr>
            <w:tcW w:w="3430" w:type="dxa"/>
            <w:vAlign w:val="center"/>
          </w:tcPr>
          <w:p>
            <w:pPr>
              <w:pStyle w:val="15"/>
            </w:pPr>
            <w:r>
              <w:t>工资发放时间</w:t>
            </w:r>
          </w:p>
        </w:tc>
        <w:tc>
          <w:tcPr>
            <w:tcW w:w="2551" w:type="dxa"/>
            <w:vAlign w:val="center"/>
          </w:tcPr>
          <w:p>
            <w:pPr>
              <w:pStyle w:val="15"/>
            </w:pPr>
            <w:r>
              <w:t>按月发放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提升片区排水能力</w:t>
            </w:r>
          </w:p>
        </w:tc>
        <w:tc>
          <w:tcPr>
            <w:tcW w:w="3430" w:type="dxa"/>
            <w:vAlign w:val="center"/>
          </w:tcPr>
          <w:p>
            <w:pPr>
              <w:pStyle w:val="15"/>
            </w:pPr>
            <w:r>
              <w:t>提升片区排水能力</w:t>
            </w:r>
          </w:p>
        </w:tc>
        <w:tc>
          <w:tcPr>
            <w:tcW w:w="2551" w:type="dxa"/>
            <w:vAlign w:val="center"/>
          </w:tcPr>
          <w:p>
            <w:pPr>
              <w:pStyle w:val="15"/>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保证闸站设备设施完好</w:t>
            </w:r>
          </w:p>
        </w:tc>
        <w:tc>
          <w:tcPr>
            <w:tcW w:w="3430" w:type="dxa"/>
            <w:vAlign w:val="center"/>
          </w:tcPr>
          <w:p>
            <w:pPr>
              <w:pStyle w:val="15"/>
            </w:pPr>
            <w:r>
              <w:t>保证闸站设备设施完好</w:t>
            </w:r>
          </w:p>
        </w:tc>
        <w:tc>
          <w:tcPr>
            <w:tcW w:w="2551" w:type="dxa"/>
            <w:vAlign w:val="center"/>
          </w:tcPr>
          <w:p>
            <w:pPr>
              <w:pStyle w:val="15"/>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派遣人员满意度</w:t>
            </w:r>
          </w:p>
        </w:tc>
        <w:tc>
          <w:tcPr>
            <w:tcW w:w="3430" w:type="dxa"/>
            <w:vAlign w:val="center"/>
          </w:tcPr>
          <w:p>
            <w:pPr>
              <w:pStyle w:val="15"/>
            </w:pPr>
            <w:r>
              <w:t>派遣人员满意度</w:t>
            </w:r>
          </w:p>
        </w:tc>
        <w:tc>
          <w:tcPr>
            <w:tcW w:w="2551" w:type="dxa"/>
            <w:vAlign w:val="center"/>
          </w:tcPr>
          <w:p>
            <w:pPr>
              <w:pStyle w:val="15"/>
            </w:pPr>
            <w:r>
              <w:t>≥85%</w:t>
            </w:r>
          </w:p>
        </w:tc>
      </w:tr>
    </w:tbl>
    <w:p>
      <w:pPr>
        <w:sectPr>
          <w:pgSz w:w="11900" w:h="16840"/>
          <w:pgMar w:top="1984" w:right="1304" w:bottom="1134" w:left="1304" w:header="720" w:footer="720" w:gutter="0"/>
          <w:cols w:space="720" w:num="1"/>
        </w:sectPr>
      </w:pPr>
    </w:p>
    <w:p>
      <w:pPr>
        <w:ind w:firstLine="560"/>
        <w:outlineLvl w:val="3"/>
      </w:pPr>
      <w:bookmarkStart w:id="8" w:name="_Toc_4_4_0000000024"/>
      <w:r>
        <w:rPr>
          <w:rFonts w:hint="eastAsia" w:ascii="方正仿宋_GBK" w:hAnsi="方正仿宋_GBK" w:cs="方正仿宋_GBK" w:eastAsiaTheme="minorEastAsia"/>
          <w:sz w:val="28"/>
          <w:lang w:eastAsia="zh-CN"/>
        </w:rPr>
        <w:t>9</w:t>
      </w:r>
      <w:r>
        <w:rPr>
          <w:rFonts w:ascii="方正仿宋_GBK" w:hAnsi="方正仿宋_GBK" w:eastAsia="方正仿宋_GBK" w:cs="方正仿宋_GBK"/>
          <w:sz w:val="28"/>
        </w:rPr>
        <w:t>.2025年排灌中心历年工程项目资金绩效目标表</w:t>
      </w:r>
      <w:bookmarkEnd w:id="8"/>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2025年排灌中心历年工程项目资金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262098.00</w:t>
            </w:r>
          </w:p>
        </w:tc>
        <w:tc>
          <w:tcPr>
            <w:tcW w:w="1587" w:type="dxa"/>
            <w:vAlign w:val="center"/>
          </w:tcPr>
          <w:p>
            <w:pPr>
              <w:pStyle w:val="16"/>
            </w:pPr>
            <w:r>
              <w:t>其中：财政    资金</w:t>
            </w:r>
          </w:p>
        </w:tc>
        <w:tc>
          <w:tcPr>
            <w:tcW w:w="1843" w:type="dxa"/>
            <w:vAlign w:val="center"/>
          </w:tcPr>
          <w:p>
            <w:pPr>
              <w:pStyle w:val="15"/>
            </w:pPr>
            <w:r>
              <w:t>262098.00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通过工程建设，联通滨海新区水系，提升了南部区域湿地、河道等地表水水质，实现水资源的利用，为滨海新区提供生态用水。</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1.通过工程建设，联通滨海新区水系，提升了南部区域湿地、河道等地表水水质，实现水资源的利用，为滨海新区提供生态用水。</w:t>
            </w:r>
          </w:p>
        </w:tc>
      </w:tr>
    </w:tbl>
    <w:p>
      <w:pPr>
        <w:spacing w:line="2" w:lineRule="exact"/>
        <w:jc w:val="center"/>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穿堤建筑物数量</w:t>
            </w:r>
          </w:p>
        </w:tc>
        <w:tc>
          <w:tcPr>
            <w:tcW w:w="3430" w:type="dxa"/>
            <w:vAlign w:val="center"/>
          </w:tcPr>
          <w:p>
            <w:pPr>
              <w:pStyle w:val="15"/>
            </w:pPr>
            <w:r>
              <w:t>穿堤建筑物数量</w:t>
            </w:r>
          </w:p>
        </w:tc>
        <w:tc>
          <w:tcPr>
            <w:tcW w:w="2551" w:type="dxa"/>
            <w:vAlign w:val="center"/>
          </w:tcPr>
          <w:p>
            <w:pPr>
              <w:pStyle w:val="15"/>
            </w:pPr>
            <w:r>
              <w:t>≥5座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治理河道长度</w:t>
            </w:r>
          </w:p>
        </w:tc>
        <w:tc>
          <w:tcPr>
            <w:tcW w:w="3430" w:type="dxa"/>
            <w:vAlign w:val="center"/>
          </w:tcPr>
          <w:p>
            <w:pPr>
              <w:pStyle w:val="15"/>
            </w:pPr>
            <w:r>
              <w:t>治理河道长度</w:t>
            </w:r>
          </w:p>
        </w:tc>
        <w:tc>
          <w:tcPr>
            <w:tcW w:w="2551" w:type="dxa"/>
            <w:vAlign w:val="center"/>
          </w:tcPr>
          <w:p>
            <w:pPr>
              <w:pStyle w:val="15"/>
            </w:pPr>
            <w:r>
              <w:t>≥3.98km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竣工验收合格率</w:t>
            </w:r>
          </w:p>
        </w:tc>
        <w:tc>
          <w:tcPr>
            <w:tcW w:w="3430" w:type="dxa"/>
            <w:vAlign w:val="center"/>
          </w:tcPr>
          <w:p>
            <w:pPr>
              <w:pStyle w:val="15"/>
            </w:pPr>
            <w:r>
              <w:t>竣工验收合格率</w:t>
            </w:r>
          </w:p>
        </w:tc>
        <w:tc>
          <w:tcPr>
            <w:tcW w:w="2551"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项目工期</w:t>
            </w:r>
          </w:p>
        </w:tc>
        <w:tc>
          <w:tcPr>
            <w:tcW w:w="3430" w:type="dxa"/>
            <w:vAlign w:val="center"/>
          </w:tcPr>
          <w:p>
            <w:pPr>
              <w:pStyle w:val="15"/>
            </w:pPr>
            <w:r>
              <w:t>项目工期</w:t>
            </w:r>
          </w:p>
        </w:tc>
        <w:tc>
          <w:tcPr>
            <w:tcW w:w="2551" w:type="dxa"/>
            <w:vAlign w:val="center"/>
          </w:tcPr>
          <w:p>
            <w:pPr>
              <w:pStyle w:val="15"/>
            </w:pPr>
            <w:r>
              <w:t>2025年9月至2025年12月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费用总额</w:t>
            </w:r>
          </w:p>
        </w:tc>
        <w:tc>
          <w:tcPr>
            <w:tcW w:w="3430" w:type="dxa"/>
            <w:vAlign w:val="center"/>
          </w:tcPr>
          <w:p>
            <w:pPr>
              <w:pStyle w:val="15"/>
            </w:pPr>
            <w:r>
              <w:t>费用总额</w:t>
            </w:r>
          </w:p>
        </w:tc>
        <w:tc>
          <w:tcPr>
            <w:tcW w:w="2551" w:type="dxa"/>
            <w:vAlign w:val="center"/>
          </w:tcPr>
          <w:p>
            <w:pPr>
              <w:pStyle w:val="15"/>
            </w:pPr>
            <w:r>
              <w:t>≤262098元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滨海新区水环境</w:t>
            </w:r>
          </w:p>
        </w:tc>
        <w:tc>
          <w:tcPr>
            <w:tcW w:w="3430" w:type="dxa"/>
            <w:vAlign w:val="center"/>
          </w:tcPr>
          <w:p>
            <w:pPr>
              <w:pStyle w:val="15"/>
            </w:pPr>
            <w:r>
              <w:t>滨海新区水环境</w:t>
            </w:r>
          </w:p>
        </w:tc>
        <w:tc>
          <w:tcPr>
            <w:tcW w:w="2551" w:type="dxa"/>
            <w:vAlign w:val="center"/>
          </w:tcPr>
          <w:p>
            <w:pPr>
              <w:pStyle w:val="15"/>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群众满意率</w:t>
            </w:r>
          </w:p>
        </w:tc>
        <w:tc>
          <w:tcPr>
            <w:tcW w:w="3430" w:type="dxa"/>
            <w:vAlign w:val="center"/>
          </w:tcPr>
          <w:p>
            <w:pPr>
              <w:pStyle w:val="15"/>
            </w:pPr>
            <w:r>
              <w:t>群众满意率</w:t>
            </w:r>
          </w:p>
        </w:tc>
        <w:tc>
          <w:tcPr>
            <w:tcW w:w="2551" w:type="dxa"/>
            <w:vAlign w:val="center"/>
          </w:tcPr>
          <w:p>
            <w:pPr>
              <w:pStyle w:val="15"/>
            </w:pPr>
            <w:r>
              <w:t>≥90%</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sz w:val="28"/>
        </w:rPr>
        <w:t xml:space="preserve"> </w:t>
      </w:r>
    </w:p>
    <w:p>
      <w:pPr>
        <w:ind w:firstLine="560"/>
        <w:outlineLvl w:val="3"/>
      </w:pPr>
      <w:bookmarkStart w:id="9" w:name="_Toc_4_4_0000000025"/>
      <w:r>
        <w:rPr>
          <w:rFonts w:hint="eastAsia" w:ascii="方正仿宋_GBK" w:hAnsi="方正仿宋_GBK" w:cs="方正仿宋_GBK" w:eastAsiaTheme="minorEastAsia"/>
          <w:sz w:val="28"/>
          <w:lang w:eastAsia="zh-CN"/>
        </w:rPr>
        <w:t>10</w:t>
      </w:r>
      <w:r>
        <w:rPr>
          <w:rFonts w:ascii="方正仿宋_GBK" w:hAnsi="方正仿宋_GBK" w:eastAsia="方正仿宋_GBK" w:cs="方正仿宋_GBK"/>
          <w:sz w:val="28"/>
        </w:rPr>
        <w:t>.2025年排灌中心伤残补助金绩效目标表</w:t>
      </w:r>
      <w:bookmarkEnd w:id="9"/>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2025年排灌中心伤残补助金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700000.00</w:t>
            </w:r>
          </w:p>
        </w:tc>
        <w:tc>
          <w:tcPr>
            <w:tcW w:w="1587" w:type="dxa"/>
            <w:vAlign w:val="center"/>
          </w:tcPr>
          <w:p>
            <w:pPr>
              <w:pStyle w:val="16"/>
            </w:pPr>
            <w:r>
              <w:t>其中：财政    资金</w:t>
            </w:r>
          </w:p>
        </w:tc>
        <w:tc>
          <w:tcPr>
            <w:tcW w:w="1843" w:type="dxa"/>
            <w:vAlign w:val="center"/>
          </w:tcPr>
          <w:p>
            <w:pPr>
              <w:pStyle w:val="15"/>
            </w:pPr>
            <w:r>
              <w:t>700000.00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通过及时支付伤残人员医疗费，保障伤残人员按需治疗</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1.通过及时支付伤残人员医疗费，保障伤残人员按需治疗</w:t>
            </w:r>
          </w:p>
        </w:tc>
      </w:tr>
    </w:tbl>
    <w:p>
      <w:pPr>
        <w:spacing w:line="2" w:lineRule="exact"/>
        <w:jc w:val="center"/>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医疗费支出人数</w:t>
            </w:r>
          </w:p>
        </w:tc>
        <w:tc>
          <w:tcPr>
            <w:tcW w:w="3430" w:type="dxa"/>
            <w:vAlign w:val="center"/>
          </w:tcPr>
          <w:p>
            <w:pPr>
              <w:pStyle w:val="15"/>
            </w:pPr>
            <w:r>
              <w:t>医疗费支出人数</w:t>
            </w:r>
          </w:p>
        </w:tc>
        <w:tc>
          <w:tcPr>
            <w:tcW w:w="2551" w:type="dxa"/>
            <w:vAlign w:val="center"/>
          </w:tcPr>
          <w:p>
            <w:pPr>
              <w:pStyle w:val="15"/>
            </w:pPr>
            <w:r>
              <w:t>≥4人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补助资金发放率</w:t>
            </w:r>
          </w:p>
        </w:tc>
        <w:tc>
          <w:tcPr>
            <w:tcW w:w="3430" w:type="dxa"/>
            <w:vAlign w:val="center"/>
          </w:tcPr>
          <w:p>
            <w:pPr>
              <w:pStyle w:val="15"/>
            </w:pPr>
            <w:r>
              <w:t>补助资金发放率</w:t>
            </w:r>
          </w:p>
        </w:tc>
        <w:tc>
          <w:tcPr>
            <w:tcW w:w="2551" w:type="dxa"/>
            <w:vAlign w:val="center"/>
          </w:tcPr>
          <w:p>
            <w:pPr>
              <w:pStyle w:val="15"/>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补助资金保障年限</w:t>
            </w:r>
          </w:p>
        </w:tc>
        <w:tc>
          <w:tcPr>
            <w:tcW w:w="3430" w:type="dxa"/>
            <w:vAlign w:val="center"/>
          </w:tcPr>
          <w:p>
            <w:pPr>
              <w:pStyle w:val="15"/>
            </w:pPr>
            <w:r>
              <w:t>补助资金保障年限</w:t>
            </w:r>
          </w:p>
        </w:tc>
        <w:tc>
          <w:tcPr>
            <w:tcW w:w="2551" w:type="dxa"/>
            <w:vAlign w:val="center"/>
          </w:tcPr>
          <w:p>
            <w:pPr>
              <w:pStyle w:val="15"/>
            </w:pPr>
            <w:r>
              <w:t>2025年度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医疗费支出数额</w:t>
            </w:r>
          </w:p>
        </w:tc>
        <w:tc>
          <w:tcPr>
            <w:tcW w:w="3430" w:type="dxa"/>
            <w:vAlign w:val="center"/>
          </w:tcPr>
          <w:p>
            <w:pPr>
              <w:pStyle w:val="15"/>
            </w:pPr>
            <w:r>
              <w:t>医疗费支出数额</w:t>
            </w:r>
          </w:p>
        </w:tc>
        <w:tc>
          <w:tcPr>
            <w:tcW w:w="2551" w:type="dxa"/>
            <w:vAlign w:val="center"/>
          </w:tcPr>
          <w:p>
            <w:pPr>
              <w:pStyle w:val="15"/>
            </w:pPr>
            <w:r>
              <w:t>≤70万元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维护稳定，化解矛盾水平</w:t>
            </w:r>
          </w:p>
        </w:tc>
        <w:tc>
          <w:tcPr>
            <w:tcW w:w="3430" w:type="dxa"/>
            <w:vAlign w:val="center"/>
          </w:tcPr>
          <w:p>
            <w:pPr>
              <w:pStyle w:val="15"/>
            </w:pPr>
            <w:r>
              <w:t>维护稳定，化解矛盾水平</w:t>
            </w:r>
          </w:p>
        </w:tc>
        <w:tc>
          <w:tcPr>
            <w:tcW w:w="2551" w:type="dxa"/>
            <w:vAlign w:val="center"/>
          </w:tcPr>
          <w:p>
            <w:pPr>
              <w:pStyle w:val="15"/>
            </w:pPr>
            <w:r>
              <w:t>有效维护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工伤人员满意度</w:t>
            </w:r>
          </w:p>
        </w:tc>
        <w:tc>
          <w:tcPr>
            <w:tcW w:w="3430" w:type="dxa"/>
            <w:vAlign w:val="center"/>
          </w:tcPr>
          <w:p>
            <w:pPr>
              <w:pStyle w:val="15"/>
            </w:pPr>
            <w:r>
              <w:t>工伤人员满意度</w:t>
            </w:r>
          </w:p>
        </w:tc>
        <w:tc>
          <w:tcPr>
            <w:tcW w:w="2551" w:type="dxa"/>
            <w:vAlign w:val="center"/>
          </w:tcPr>
          <w:p>
            <w:pPr>
              <w:pStyle w:val="15"/>
            </w:pPr>
            <w:r>
              <w:t>≥85%</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sz w:val="28"/>
        </w:rPr>
        <w:t xml:space="preserve"> </w:t>
      </w:r>
    </w:p>
    <w:p>
      <w:pPr>
        <w:ind w:firstLine="560"/>
        <w:outlineLvl w:val="3"/>
      </w:pPr>
      <w:bookmarkStart w:id="10" w:name="_Toc_4_4_0000000026"/>
      <w:r>
        <w:rPr>
          <w:rFonts w:hint="eastAsia" w:ascii="方正仿宋_GBK" w:hAnsi="方正仿宋_GBK" w:cs="方正仿宋_GBK" w:eastAsiaTheme="minorEastAsia"/>
          <w:sz w:val="28"/>
          <w:lang w:eastAsia="zh-CN"/>
        </w:rPr>
        <w:t>11</w:t>
      </w:r>
      <w:r>
        <w:rPr>
          <w:rFonts w:ascii="方正仿宋_GBK" w:hAnsi="方正仿宋_GBK" w:eastAsia="方正仿宋_GBK" w:cs="方正仿宋_GBK"/>
          <w:sz w:val="28"/>
        </w:rPr>
        <w:t>.2025年水利、排水设施运维养管绩效目标表</w:t>
      </w:r>
      <w:bookmarkEnd w:id="10"/>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2025年水利、排水设施运维养管</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25000000.00</w:t>
            </w:r>
          </w:p>
        </w:tc>
        <w:tc>
          <w:tcPr>
            <w:tcW w:w="1587" w:type="dxa"/>
            <w:vAlign w:val="center"/>
          </w:tcPr>
          <w:p>
            <w:pPr>
              <w:pStyle w:val="16"/>
            </w:pPr>
            <w:r>
              <w:t>其中：财政    资金</w:t>
            </w:r>
          </w:p>
        </w:tc>
        <w:tc>
          <w:tcPr>
            <w:tcW w:w="1843" w:type="dxa"/>
            <w:vAlign w:val="center"/>
          </w:tcPr>
          <w:p>
            <w:pPr>
              <w:pStyle w:val="15"/>
            </w:pPr>
            <w:r>
              <w:t>25000000.00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PrEx>
        <w:trPr>
          <w:trHeight w:val="369" w:hRule="atLeast"/>
          <w:jc w:val="center"/>
        </w:trPr>
        <w:tc>
          <w:tcPr>
            <w:tcW w:w="1276" w:type="dxa"/>
            <w:vMerge w:val="continue"/>
          </w:tcPr>
          <w:p/>
        </w:tc>
        <w:tc>
          <w:tcPr>
            <w:tcW w:w="8589" w:type="dxa"/>
            <w:gridSpan w:val="6"/>
            <w:vAlign w:val="center"/>
          </w:tcPr>
          <w:p>
            <w:pPr>
              <w:pStyle w:val="15"/>
            </w:pPr>
            <w:r>
              <w:t>通过及时缴纳电费，保障排水工作正常进行；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1.通过及时缴纳电费，保障排水工作正常进行；</w:t>
            </w:r>
          </w:p>
        </w:tc>
      </w:tr>
    </w:tbl>
    <w:p>
      <w:pPr>
        <w:spacing w:line="2" w:lineRule="exact"/>
        <w:jc w:val="center"/>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维护养管排水泵站数量</w:t>
            </w:r>
          </w:p>
        </w:tc>
        <w:tc>
          <w:tcPr>
            <w:tcW w:w="3430" w:type="dxa"/>
            <w:vAlign w:val="center"/>
          </w:tcPr>
          <w:p>
            <w:pPr>
              <w:pStyle w:val="15"/>
            </w:pPr>
            <w:r>
              <w:t>维护养管排水泵站数量</w:t>
            </w:r>
          </w:p>
        </w:tc>
        <w:tc>
          <w:tcPr>
            <w:tcW w:w="2551" w:type="dxa"/>
            <w:vAlign w:val="center"/>
          </w:tcPr>
          <w:p>
            <w:pPr>
              <w:pStyle w:val="15"/>
            </w:pPr>
            <w:r>
              <w:t>≥200座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泵站用电设备</w:t>
            </w:r>
          </w:p>
        </w:tc>
        <w:tc>
          <w:tcPr>
            <w:tcW w:w="3430" w:type="dxa"/>
            <w:vAlign w:val="center"/>
          </w:tcPr>
          <w:p>
            <w:pPr>
              <w:pStyle w:val="15"/>
            </w:pPr>
            <w:r>
              <w:t>泵站用电设备</w:t>
            </w:r>
          </w:p>
        </w:tc>
        <w:tc>
          <w:tcPr>
            <w:tcW w:w="2551" w:type="dxa"/>
            <w:vAlign w:val="center"/>
          </w:tcPr>
          <w:p>
            <w:pPr>
              <w:pStyle w:val="15"/>
            </w:pPr>
            <w:r>
              <w:t>≥1000台/套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排水设施设备运转正常率</w:t>
            </w:r>
          </w:p>
        </w:tc>
        <w:tc>
          <w:tcPr>
            <w:tcW w:w="3430" w:type="dxa"/>
            <w:vAlign w:val="center"/>
          </w:tcPr>
          <w:p>
            <w:pPr>
              <w:pStyle w:val="15"/>
            </w:pPr>
            <w:r>
              <w:t>排水设施设备运转正常率</w:t>
            </w:r>
          </w:p>
        </w:tc>
        <w:tc>
          <w:tcPr>
            <w:tcW w:w="2551" w:type="dxa"/>
            <w:vAlign w:val="center"/>
          </w:tcPr>
          <w:p>
            <w:pPr>
              <w:pStyle w:val="15"/>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设施维修养护合格率</w:t>
            </w:r>
          </w:p>
        </w:tc>
        <w:tc>
          <w:tcPr>
            <w:tcW w:w="3430" w:type="dxa"/>
            <w:vAlign w:val="center"/>
          </w:tcPr>
          <w:p>
            <w:pPr>
              <w:pStyle w:val="15"/>
            </w:pPr>
            <w:r>
              <w:t>设施维修养护合格率</w:t>
            </w:r>
          </w:p>
        </w:tc>
        <w:tc>
          <w:tcPr>
            <w:tcW w:w="2551"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全天供电时间</w:t>
            </w:r>
          </w:p>
        </w:tc>
        <w:tc>
          <w:tcPr>
            <w:tcW w:w="3430" w:type="dxa"/>
            <w:vAlign w:val="center"/>
          </w:tcPr>
          <w:p>
            <w:pPr>
              <w:pStyle w:val="15"/>
            </w:pPr>
            <w:r>
              <w:t>全天供电时间</w:t>
            </w:r>
          </w:p>
        </w:tc>
        <w:tc>
          <w:tcPr>
            <w:tcW w:w="2551" w:type="dxa"/>
            <w:vAlign w:val="center"/>
          </w:tcPr>
          <w:p>
            <w:pPr>
              <w:pStyle w:val="15"/>
            </w:pPr>
            <w:r>
              <w:t>24小时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水利、排水设施养管电费</w:t>
            </w:r>
          </w:p>
        </w:tc>
        <w:tc>
          <w:tcPr>
            <w:tcW w:w="3430" w:type="dxa"/>
            <w:vAlign w:val="center"/>
          </w:tcPr>
          <w:p>
            <w:pPr>
              <w:pStyle w:val="15"/>
            </w:pPr>
            <w:r>
              <w:t>水利、排水设施养管电费</w:t>
            </w:r>
          </w:p>
        </w:tc>
        <w:tc>
          <w:tcPr>
            <w:tcW w:w="2551" w:type="dxa"/>
            <w:vAlign w:val="center"/>
          </w:tcPr>
          <w:p>
            <w:pPr>
              <w:pStyle w:val="15"/>
            </w:pPr>
            <w:r>
              <w:t>≤2500万元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69" w:hRule="atLeast"/>
          <w:jc w:val="center"/>
        </w:trPr>
        <w:tc>
          <w:tcPr>
            <w:tcW w:w="1276" w:type="dxa"/>
            <w:vAlign w:val="center"/>
          </w:tcPr>
          <w:p>
            <w:pPr>
              <w:pStyle w:val="17"/>
            </w:pPr>
            <w:r>
              <w:t>效益指标</w:t>
            </w:r>
          </w:p>
        </w:tc>
        <w:tc>
          <w:tcPr>
            <w:tcW w:w="1276" w:type="dxa"/>
            <w:vAlign w:val="center"/>
          </w:tcPr>
          <w:p>
            <w:pPr>
              <w:pStyle w:val="15"/>
            </w:pPr>
            <w:r>
              <w:t>可持续影响指标</w:t>
            </w:r>
          </w:p>
        </w:tc>
        <w:tc>
          <w:tcPr>
            <w:tcW w:w="1332" w:type="dxa"/>
            <w:vAlign w:val="center"/>
          </w:tcPr>
          <w:p>
            <w:pPr>
              <w:pStyle w:val="15"/>
            </w:pPr>
            <w:r>
              <w:t>可持续发挥作用期限</w:t>
            </w:r>
          </w:p>
        </w:tc>
        <w:tc>
          <w:tcPr>
            <w:tcW w:w="3430" w:type="dxa"/>
            <w:vAlign w:val="center"/>
          </w:tcPr>
          <w:p>
            <w:pPr>
              <w:pStyle w:val="15"/>
            </w:pPr>
            <w:r>
              <w:t>可持续发挥作用的期限</w:t>
            </w:r>
          </w:p>
        </w:tc>
        <w:tc>
          <w:tcPr>
            <w:tcW w:w="2551" w:type="dxa"/>
            <w:vAlign w:val="center"/>
          </w:tcPr>
          <w:p>
            <w:pPr>
              <w:pStyle w:val="15"/>
            </w:pPr>
            <w:r>
              <w:t>1年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保障排水设施正常运转</w:t>
            </w:r>
          </w:p>
        </w:tc>
        <w:tc>
          <w:tcPr>
            <w:tcW w:w="3430" w:type="dxa"/>
            <w:vAlign w:val="center"/>
          </w:tcPr>
          <w:p>
            <w:pPr>
              <w:pStyle w:val="15"/>
            </w:pPr>
            <w:r>
              <w:t>保障排水设施正常运转</w:t>
            </w:r>
          </w:p>
        </w:tc>
        <w:tc>
          <w:tcPr>
            <w:tcW w:w="2551" w:type="dxa"/>
            <w:vAlign w:val="center"/>
          </w:tcPr>
          <w:p>
            <w:pPr>
              <w:pStyle w:val="15"/>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社会公众满意度</w:t>
            </w:r>
          </w:p>
        </w:tc>
        <w:tc>
          <w:tcPr>
            <w:tcW w:w="3430" w:type="dxa"/>
            <w:vAlign w:val="center"/>
          </w:tcPr>
          <w:p>
            <w:pPr>
              <w:pStyle w:val="15"/>
            </w:pPr>
            <w:r>
              <w:t>社会公众满意度</w:t>
            </w:r>
          </w:p>
        </w:tc>
        <w:tc>
          <w:tcPr>
            <w:tcW w:w="2551" w:type="dxa"/>
            <w:vAlign w:val="center"/>
          </w:tcPr>
          <w:p>
            <w:pPr>
              <w:pStyle w:val="15"/>
            </w:pPr>
            <w:r>
              <w:t>≥95%</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sz w:val="28"/>
        </w:rPr>
        <w:t xml:space="preserve"> </w:t>
      </w:r>
    </w:p>
    <w:p>
      <w:pPr>
        <w:ind w:firstLine="560"/>
        <w:outlineLvl w:val="3"/>
      </w:pPr>
      <w:bookmarkStart w:id="11" w:name="_Toc_4_4_0000000027"/>
      <w:r>
        <w:rPr>
          <w:rFonts w:hint="eastAsia" w:ascii="方正仿宋_GBK" w:hAnsi="方正仿宋_GBK" w:cs="方正仿宋_GBK" w:eastAsiaTheme="minorEastAsia"/>
          <w:sz w:val="28"/>
          <w:lang w:eastAsia="zh-CN"/>
        </w:rPr>
        <w:t>12</w:t>
      </w:r>
      <w:r>
        <w:rPr>
          <w:rFonts w:ascii="方正仿宋_GBK" w:hAnsi="方正仿宋_GBK" w:eastAsia="方正仿宋_GBK" w:cs="方正仿宋_GBK"/>
          <w:sz w:val="28"/>
        </w:rPr>
        <w:t>.2025年水利、排水设施运维养管（基金）绩效目标表</w:t>
      </w:r>
      <w:bookmarkEnd w:id="11"/>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2025年水利、排水设施运维养管（基金）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13000000.00</w:t>
            </w:r>
          </w:p>
        </w:tc>
        <w:tc>
          <w:tcPr>
            <w:tcW w:w="1587" w:type="dxa"/>
            <w:vAlign w:val="center"/>
          </w:tcPr>
          <w:p>
            <w:pPr>
              <w:pStyle w:val="16"/>
            </w:pPr>
            <w:r>
              <w:t>其中：财政    资金</w:t>
            </w:r>
          </w:p>
        </w:tc>
        <w:tc>
          <w:tcPr>
            <w:tcW w:w="1843" w:type="dxa"/>
            <w:vAlign w:val="center"/>
          </w:tcPr>
          <w:p>
            <w:pPr>
              <w:pStyle w:val="15"/>
            </w:pPr>
            <w:r>
              <w:t>13000000.00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通过实施维修改造工程，保障排水工作正常进行；</w:t>
            </w:r>
            <w:r>
              <w:tab/>
            </w:r>
            <w:r>
              <w:t>通过实施鉴定检测，及时发现隐患；</w:t>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1.通过实施维修改造工程，保障排水工作正常进行；</w:t>
            </w:r>
            <w:r>
              <w:tab/>
            </w:r>
            <w:r>
              <w:tab/>
            </w:r>
            <w:r>
              <w:tab/>
            </w:r>
            <w:r>
              <w:tab/>
            </w:r>
            <w:r>
              <w:tab/>
            </w:r>
            <w:r>
              <w:tab/>
            </w:r>
          </w:p>
          <w:p>
            <w:pPr>
              <w:pStyle w:val="15"/>
            </w:pPr>
          </w:p>
        </w:tc>
      </w:tr>
    </w:tbl>
    <w:p>
      <w:pPr>
        <w:spacing w:line="2" w:lineRule="exact"/>
        <w:jc w:val="center"/>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维护养管排水泵站数量</w:t>
            </w:r>
          </w:p>
        </w:tc>
        <w:tc>
          <w:tcPr>
            <w:tcW w:w="3430" w:type="dxa"/>
            <w:vAlign w:val="center"/>
          </w:tcPr>
          <w:p>
            <w:pPr>
              <w:pStyle w:val="15"/>
            </w:pPr>
            <w:r>
              <w:t>维护养管排水泵站数量</w:t>
            </w:r>
          </w:p>
        </w:tc>
        <w:tc>
          <w:tcPr>
            <w:tcW w:w="2551" w:type="dxa"/>
            <w:vAlign w:val="center"/>
          </w:tcPr>
          <w:p>
            <w:pPr>
              <w:pStyle w:val="15"/>
            </w:pPr>
            <w:r>
              <w:t>≥200座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维护养管排水管道长度</w:t>
            </w:r>
          </w:p>
        </w:tc>
        <w:tc>
          <w:tcPr>
            <w:tcW w:w="3430" w:type="dxa"/>
            <w:vAlign w:val="center"/>
          </w:tcPr>
          <w:p>
            <w:pPr>
              <w:pStyle w:val="15"/>
            </w:pPr>
            <w:r>
              <w:t>维护养管排水管道长度</w:t>
            </w:r>
          </w:p>
        </w:tc>
        <w:tc>
          <w:tcPr>
            <w:tcW w:w="2551" w:type="dxa"/>
            <w:vAlign w:val="center"/>
          </w:tcPr>
          <w:p>
            <w:pPr>
              <w:pStyle w:val="15"/>
            </w:pPr>
            <w:r>
              <w:t>≥1500千米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排水设施设备运转正常率</w:t>
            </w:r>
          </w:p>
        </w:tc>
        <w:tc>
          <w:tcPr>
            <w:tcW w:w="3430" w:type="dxa"/>
            <w:vAlign w:val="center"/>
          </w:tcPr>
          <w:p>
            <w:pPr>
              <w:pStyle w:val="15"/>
            </w:pPr>
            <w:r>
              <w:t>排水设施设备运转正常率</w:t>
            </w:r>
          </w:p>
        </w:tc>
        <w:tc>
          <w:tcPr>
            <w:tcW w:w="2551" w:type="dxa"/>
            <w:vAlign w:val="center"/>
          </w:tcPr>
          <w:p>
            <w:pPr>
              <w:pStyle w:val="15"/>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设施维修养护合格率</w:t>
            </w:r>
          </w:p>
        </w:tc>
        <w:tc>
          <w:tcPr>
            <w:tcW w:w="3430" w:type="dxa"/>
            <w:vAlign w:val="center"/>
          </w:tcPr>
          <w:p>
            <w:pPr>
              <w:pStyle w:val="15"/>
            </w:pPr>
            <w:r>
              <w:t>设施维修养护合格率</w:t>
            </w:r>
          </w:p>
        </w:tc>
        <w:tc>
          <w:tcPr>
            <w:tcW w:w="2551"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应急抢修响应时间</w:t>
            </w:r>
          </w:p>
        </w:tc>
        <w:tc>
          <w:tcPr>
            <w:tcW w:w="3430" w:type="dxa"/>
            <w:vAlign w:val="center"/>
          </w:tcPr>
          <w:p>
            <w:pPr>
              <w:pStyle w:val="15"/>
            </w:pPr>
            <w:r>
              <w:t>应急抢修响应时间</w:t>
            </w:r>
          </w:p>
        </w:tc>
        <w:tc>
          <w:tcPr>
            <w:tcW w:w="2551" w:type="dxa"/>
            <w:vAlign w:val="center"/>
          </w:tcPr>
          <w:p>
            <w:pPr>
              <w:pStyle w:val="15"/>
            </w:pPr>
            <w:r>
              <w:t>≤24小时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水利、排水设施养管经费</w:t>
            </w:r>
          </w:p>
        </w:tc>
        <w:tc>
          <w:tcPr>
            <w:tcW w:w="3430" w:type="dxa"/>
            <w:vAlign w:val="center"/>
          </w:tcPr>
          <w:p>
            <w:pPr>
              <w:pStyle w:val="15"/>
            </w:pPr>
            <w:r>
              <w:t>水利、排水设施养管经费</w:t>
            </w:r>
          </w:p>
        </w:tc>
        <w:tc>
          <w:tcPr>
            <w:tcW w:w="2551" w:type="dxa"/>
            <w:vAlign w:val="center"/>
          </w:tcPr>
          <w:p>
            <w:pPr>
              <w:pStyle w:val="15"/>
            </w:pPr>
            <w:r>
              <w:t>≤1300万元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可持续影响指标</w:t>
            </w:r>
          </w:p>
        </w:tc>
        <w:tc>
          <w:tcPr>
            <w:tcW w:w="1332" w:type="dxa"/>
            <w:vAlign w:val="center"/>
          </w:tcPr>
          <w:p>
            <w:pPr>
              <w:pStyle w:val="15"/>
            </w:pPr>
            <w:r>
              <w:t>水利、排水设施可持续发挥作用的期限</w:t>
            </w:r>
          </w:p>
        </w:tc>
        <w:tc>
          <w:tcPr>
            <w:tcW w:w="3430" w:type="dxa"/>
            <w:vAlign w:val="center"/>
          </w:tcPr>
          <w:p>
            <w:pPr>
              <w:pStyle w:val="15"/>
            </w:pPr>
            <w:r>
              <w:t>水利、排水设施可持续发挥作用的期限</w:t>
            </w:r>
          </w:p>
        </w:tc>
        <w:tc>
          <w:tcPr>
            <w:tcW w:w="2551" w:type="dxa"/>
            <w:vAlign w:val="center"/>
          </w:tcPr>
          <w:p>
            <w:pPr>
              <w:pStyle w:val="15"/>
            </w:pPr>
            <w:r>
              <w:t>1年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保障排水设施正常运转</w:t>
            </w:r>
          </w:p>
        </w:tc>
        <w:tc>
          <w:tcPr>
            <w:tcW w:w="3430" w:type="dxa"/>
            <w:vAlign w:val="center"/>
          </w:tcPr>
          <w:p>
            <w:pPr>
              <w:pStyle w:val="15"/>
            </w:pPr>
            <w:r>
              <w:t>保障排水设施正常运转</w:t>
            </w:r>
          </w:p>
        </w:tc>
        <w:tc>
          <w:tcPr>
            <w:tcW w:w="2551" w:type="dxa"/>
            <w:vAlign w:val="center"/>
          </w:tcPr>
          <w:p>
            <w:pPr>
              <w:pStyle w:val="15"/>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社会公众满意度</w:t>
            </w:r>
          </w:p>
        </w:tc>
        <w:tc>
          <w:tcPr>
            <w:tcW w:w="3430" w:type="dxa"/>
            <w:vAlign w:val="center"/>
          </w:tcPr>
          <w:p>
            <w:pPr>
              <w:pStyle w:val="15"/>
            </w:pPr>
            <w:r>
              <w:t>社会公众满意度</w:t>
            </w:r>
          </w:p>
        </w:tc>
        <w:tc>
          <w:tcPr>
            <w:tcW w:w="2551" w:type="dxa"/>
            <w:vAlign w:val="center"/>
          </w:tcPr>
          <w:p>
            <w:pPr>
              <w:pStyle w:val="15"/>
            </w:pPr>
            <w:r>
              <w:t>≥95%</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sz w:val="28"/>
        </w:rPr>
        <w:t xml:space="preserve"> </w:t>
      </w:r>
    </w:p>
    <w:p>
      <w:pPr>
        <w:ind w:firstLine="560"/>
        <w:outlineLvl w:val="3"/>
      </w:pPr>
      <w:bookmarkStart w:id="12" w:name="_Toc_4_4_0000000028"/>
      <w:r>
        <w:rPr>
          <w:rFonts w:hint="eastAsia" w:ascii="方正仿宋_GBK" w:hAnsi="方正仿宋_GBK" w:cs="方正仿宋_GBK" w:eastAsiaTheme="minorEastAsia"/>
          <w:sz w:val="28"/>
          <w:lang w:eastAsia="zh-CN"/>
        </w:rPr>
        <w:t>13</w:t>
      </w:r>
      <w:r>
        <w:rPr>
          <w:rFonts w:ascii="方正仿宋_GBK" w:hAnsi="方正仿宋_GBK" w:eastAsia="方正仿宋_GBK" w:cs="方正仿宋_GBK"/>
          <w:sz w:val="28"/>
        </w:rPr>
        <w:t>.天津市财政局关于提前下达2024年中央财政水利发展资金预算的通知（津财农指【2023】59号）绩效目标表</w:t>
      </w:r>
      <w:bookmarkEnd w:id="12"/>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天津市财政局关于提前下达2024年中央财政水利发展资金预算的通知（津财农指【2023】59号）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1990.00</w:t>
            </w:r>
          </w:p>
        </w:tc>
        <w:tc>
          <w:tcPr>
            <w:tcW w:w="1587" w:type="dxa"/>
            <w:vAlign w:val="center"/>
          </w:tcPr>
          <w:p>
            <w:pPr>
              <w:pStyle w:val="16"/>
            </w:pPr>
            <w:r>
              <w:t>其中：财政    资金</w:t>
            </w:r>
          </w:p>
        </w:tc>
        <w:tc>
          <w:tcPr>
            <w:tcW w:w="1843" w:type="dxa"/>
            <w:vAlign w:val="center"/>
          </w:tcPr>
          <w:p>
            <w:pPr>
              <w:pStyle w:val="15"/>
            </w:pPr>
            <w:r>
              <w:t>1990.00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按照相关规划或实施方案，根据任务清单并结合地方实际开展有关水利建设和维修养护，推动水利改革发展。</w:t>
            </w:r>
            <w:r>
              <w:tab/>
            </w:r>
            <w:r>
              <w:tab/>
            </w:r>
            <w:r>
              <w:tab/>
            </w:r>
            <w:r>
              <w:tab/>
            </w:r>
            <w:r>
              <w:tab/>
            </w:r>
            <w:r>
              <w:tab/>
            </w:r>
          </w:p>
          <w:p>
            <w:pPr>
              <w:pStyle w:val="15"/>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1.按照相关规划或实施方案，根据任务清单并结合地方实际开展有关水利建设和维修养护，推动水利改革发展。</w:t>
            </w:r>
            <w:r>
              <w:tab/>
            </w:r>
            <w:r>
              <w:tab/>
            </w:r>
            <w:r>
              <w:tab/>
            </w:r>
            <w:r>
              <w:tab/>
            </w:r>
            <w:r>
              <w:tab/>
            </w:r>
            <w:r>
              <w:tab/>
            </w:r>
          </w:p>
          <w:p>
            <w:pPr>
              <w:pStyle w:val="15"/>
            </w:pPr>
          </w:p>
        </w:tc>
      </w:tr>
    </w:tbl>
    <w:p>
      <w:pPr>
        <w:spacing w:line="2" w:lineRule="exact"/>
        <w:jc w:val="center"/>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堤防白蚁等害堤动物日常检查长度</w:t>
            </w:r>
          </w:p>
        </w:tc>
        <w:tc>
          <w:tcPr>
            <w:tcW w:w="3430" w:type="dxa"/>
            <w:vAlign w:val="center"/>
          </w:tcPr>
          <w:p>
            <w:pPr>
              <w:pStyle w:val="15"/>
            </w:pPr>
            <w:r>
              <w:t>堤防白蚁等害堤动物日常检查长度</w:t>
            </w:r>
          </w:p>
        </w:tc>
        <w:tc>
          <w:tcPr>
            <w:tcW w:w="2551" w:type="dxa"/>
            <w:vAlign w:val="center"/>
          </w:tcPr>
          <w:p>
            <w:pPr>
              <w:pStyle w:val="15"/>
            </w:pPr>
            <w:r>
              <w:t>≥50km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工程验收合格率</w:t>
            </w:r>
          </w:p>
        </w:tc>
        <w:tc>
          <w:tcPr>
            <w:tcW w:w="3430" w:type="dxa"/>
            <w:vAlign w:val="center"/>
          </w:tcPr>
          <w:p>
            <w:pPr>
              <w:pStyle w:val="15"/>
            </w:pPr>
            <w:r>
              <w:t>工程验收合格率</w:t>
            </w:r>
          </w:p>
        </w:tc>
        <w:tc>
          <w:tcPr>
            <w:tcW w:w="2551"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检查完成时间</w:t>
            </w:r>
          </w:p>
        </w:tc>
        <w:tc>
          <w:tcPr>
            <w:tcW w:w="3430" w:type="dxa"/>
            <w:vAlign w:val="center"/>
          </w:tcPr>
          <w:p>
            <w:pPr>
              <w:pStyle w:val="15"/>
            </w:pPr>
            <w:r>
              <w:t>检查完成时间</w:t>
            </w:r>
          </w:p>
        </w:tc>
        <w:tc>
          <w:tcPr>
            <w:tcW w:w="2551" w:type="dxa"/>
            <w:vAlign w:val="center"/>
          </w:tcPr>
          <w:p>
            <w:pPr>
              <w:pStyle w:val="15"/>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防治经费</w:t>
            </w:r>
          </w:p>
        </w:tc>
        <w:tc>
          <w:tcPr>
            <w:tcW w:w="3430" w:type="dxa"/>
            <w:vAlign w:val="center"/>
          </w:tcPr>
          <w:p>
            <w:pPr>
              <w:pStyle w:val="15"/>
            </w:pPr>
            <w:r>
              <w:t>防治经费</w:t>
            </w:r>
          </w:p>
        </w:tc>
        <w:tc>
          <w:tcPr>
            <w:tcW w:w="2551" w:type="dxa"/>
            <w:vAlign w:val="center"/>
          </w:tcPr>
          <w:p>
            <w:pPr>
              <w:pStyle w:val="15"/>
            </w:pPr>
            <w:r>
              <w:t>≤1990元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推动水利改革发展</w:t>
            </w:r>
          </w:p>
        </w:tc>
        <w:tc>
          <w:tcPr>
            <w:tcW w:w="3430" w:type="dxa"/>
            <w:vAlign w:val="center"/>
          </w:tcPr>
          <w:p>
            <w:pPr>
              <w:pStyle w:val="15"/>
            </w:pPr>
            <w:r>
              <w:t>推动水利改革发展</w:t>
            </w:r>
          </w:p>
        </w:tc>
        <w:tc>
          <w:tcPr>
            <w:tcW w:w="2551" w:type="dxa"/>
            <w:vAlign w:val="center"/>
          </w:tcPr>
          <w:p>
            <w:pPr>
              <w:pStyle w:val="15"/>
            </w:pPr>
            <w:r>
              <w:t>有效推动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周边群众满意度</w:t>
            </w:r>
          </w:p>
        </w:tc>
        <w:tc>
          <w:tcPr>
            <w:tcW w:w="3430" w:type="dxa"/>
            <w:vAlign w:val="center"/>
          </w:tcPr>
          <w:p>
            <w:pPr>
              <w:pStyle w:val="15"/>
            </w:pPr>
            <w:r>
              <w:t>周边群众满意度</w:t>
            </w:r>
          </w:p>
        </w:tc>
        <w:tc>
          <w:tcPr>
            <w:tcW w:w="2551" w:type="dxa"/>
            <w:vAlign w:val="center"/>
          </w:tcPr>
          <w:p>
            <w:pPr>
              <w:pStyle w:val="15"/>
            </w:pPr>
            <w:r>
              <w:t>≥90%</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sz w:val="28"/>
        </w:rPr>
        <w:t xml:space="preserve"> </w:t>
      </w:r>
    </w:p>
    <w:p>
      <w:pPr>
        <w:ind w:firstLine="560"/>
        <w:outlineLvl w:val="3"/>
      </w:pPr>
      <w:bookmarkStart w:id="13" w:name="_Toc_4_4_0000000029"/>
      <w:r>
        <w:rPr>
          <w:rFonts w:hint="eastAsia" w:ascii="方正仿宋_GBK" w:hAnsi="方正仿宋_GBK" w:cs="方正仿宋_GBK" w:eastAsiaTheme="minorEastAsia"/>
          <w:sz w:val="28"/>
          <w:lang w:eastAsia="zh-CN"/>
        </w:rPr>
        <w:t>14</w:t>
      </w:r>
      <w:r>
        <w:rPr>
          <w:rFonts w:ascii="方正仿宋_GBK" w:hAnsi="方正仿宋_GBK" w:eastAsia="方正仿宋_GBK" w:cs="方正仿宋_GBK"/>
          <w:sz w:val="28"/>
        </w:rPr>
        <w:t>.天津市财政局关于提前下达2025年中央财政水利发展资金预算的通知（津财农指【2024】64号）绩效目标表</w:t>
      </w:r>
      <w:bookmarkEnd w:id="13"/>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天津市财政局关于提前下达2025年中央财政水利发展资金预算的通知（津财农指【2024】64号）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170000.00</w:t>
            </w:r>
          </w:p>
        </w:tc>
        <w:tc>
          <w:tcPr>
            <w:tcW w:w="1587" w:type="dxa"/>
            <w:vAlign w:val="center"/>
          </w:tcPr>
          <w:p>
            <w:pPr>
              <w:pStyle w:val="16"/>
            </w:pPr>
            <w:r>
              <w:t>其中：财政    资金</w:t>
            </w:r>
          </w:p>
        </w:tc>
        <w:tc>
          <w:tcPr>
            <w:tcW w:w="1843" w:type="dxa"/>
            <w:vAlign w:val="center"/>
          </w:tcPr>
          <w:p>
            <w:pPr>
              <w:pStyle w:val="15"/>
            </w:pPr>
            <w:r>
              <w:t>170000.00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通过对钱圈水库安装监控探头及维修水库泵站管理房，保障水库安全工作的正常运行。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1.通过对钱圈水库安装监控探头及维修水库泵站管理房，保障水库安全工作的正常运行。</w:t>
            </w:r>
          </w:p>
        </w:tc>
      </w:tr>
    </w:tbl>
    <w:p>
      <w:pPr>
        <w:spacing w:line="2" w:lineRule="exact"/>
        <w:jc w:val="center"/>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小型水库工程维修养护座数</w:t>
            </w:r>
          </w:p>
        </w:tc>
        <w:tc>
          <w:tcPr>
            <w:tcW w:w="3430" w:type="dxa"/>
            <w:vAlign w:val="center"/>
          </w:tcPr>
          <w:p>
            <w:pPr>
              <w:pStyle w:val="15"/>
            </w:pPr>
            <w:r>
              <w:t>小型水库工程维修养护座数</w:t>
            </w:r>
          </w:p>
        </w:tc>
        <w:tc>
          <w:tcPr>
            <w:tcW w:w="2551" w:type="dxa"/>
            <w:vAlign w:val="center"/>
          </w:tcPr>
          <w:p>
            <w:pPr>
              <w:pStyle w:val="15"/>
            </w:pPr>
            <w:r>
              <w:t>1座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工程验收合格率</w:t>
            </w:r>
          </w:p>
        </w:tc>
        <w:tc>
          <w:tcPr>
            <w:tcW w:w="3430" w:type="dxa"/>
            <w:vAlign w:val="center"/>
          </w:tcPr>
          <w:p>
            <w:pPr>
              <w:pStyle w:val="15"/>
            </w:pPr>
            <w:r>
              <w:t>工程验收合格率</w:t>
            </w:r>
          </w:p>
        </w:tc>
        <w:tc>
          <w:tcPr>
            <w:tcW w:w="2551"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工程完成时间</w:t>
            </w:r>
          </w:p>
        </w:tc>
        <w:tc>
          <w:tcPr>
            <w:tcW w:w="3430" w:type="dxa"/>
            <w:vAlign w:val="center"/>
          </w:tcPr>
          <w:p>
            <w:pPr>
              <w:pStyle w:val="15"/>
            </w:pPr>
            <w:r>
              <w:t>工程完成时间</w:t>
            </w:r>
          </w:p>
        </w:tc>
        <w:tc>
          <w:tcPr>
            <w:tcW w:w="2551" w:type="dxa"/>
            <w:vAlign w:val="center"/>
          </w:tcPr>
          <w:p>
            <w:pPr>
              <w:pStyle w:val="15"/>
            </w:pPr>
            <w:r>
              <w:t>2025年12月31日前完成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维修养护经费</w:t>
            </w:r>
          </w:p>
        </w:tc>
        <w:tc>
          <w:tcPr>
            <w:tcW w:w="3430" w:type="dxa"/>
            <w:vAlign w:val="center"/>
          </w:tcPr>
          <w:p>
            <w:pPr>
              <w:pStyle w:val="15"/>
            </w:pPr>
            <w:r>
              <w:t>维修养护经费</w:t>
            </w:r>
          </w:p>
        </w:tc>
        <w:tc>
          <w:tcPr>
            <w:tcW w:w="2551" w:type="dxa"/>
            <w:vAlign w:val="center"/>
          </w:tcPr>
          <w:p>
            <w:pPr>
              <w:pStyle w:val="15"/>
            </w:pPr>
            <w:r>
              <w:t>≤17万元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提高群众获得感、幸福感</w:t>
            </w:r>
          </w:p>
        </w:tc>
        <w:tc>
          <w:tcPr>
            <w:tcW w:w="3430" w:type="dxa"/>
            <w:vAlign w:val="center"/>
          </w:tcPr>
          <w:p>
            <w:pPr>
              <w:pStyle w:val="15"/>
            </w:pPr>
            <w:r>
              <w:t>提高群众获得感、幸福感</w:t>
            </w:r>
          </w:p>
        </w:tc>
        <w:tc>
          <w:tcPr>
            <w:tcW w:w="2551" w:type="dxa"/>
            <w:vAlign w:val="center"/>
          </w:tcPr>
          <w:p>
            <w:pPr>
              <w:pStyle w:val="15"/>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社会公众满意度</w:t>
            </w:r>
          </w:p>
        </w:tc>
        <w:tc>
          <w:tcPr>
            <w:tcW w:w="3430" w:type="dxa"/>
            <w:vAlign w:val="center"/>
          </w:tcPr>
          <w:p>
            <w:pPr>
              <w:pStyle w:val="15"/>
            </w:pPr>
            <w:r>
              <w:t>社会公众满意度</w:t>
            </w:r>
          </w:p>
        </w:tc>
        <w:tc>
          <w:tcPr>
            <w:tcW w:w="2551" w:type="dxa"/>
            <w:vAlign w:val="center"/>
          </w:tcPr>
          <w:p>
            <w:pPr>
              <w:pStyle w:val="15"/>
            </w:pPr>
            <w:r>
              <w:t>≥95%</w:t>
            </w:r>
          </w:p>
        </w:tc>
      </w:tr>
    </w:tbl>
    <w:p>
      <w:pPr>
        <w:sectPr>
          <w:pgSz w:w="11900" w:h="16840"/>
          <w:pgMar w:top="1984" w:right="1304" w:bottom="1134" w:left="1304" w:header="720" w:footer="720" w:gutter="0"/>
          <w:cols w:space="720" w:num="1"/>
        </w:sectPr>
      </w:pPr>
    </w:p>
    <w:p>
      <w:pPr>
        <w:jc w:val="center"/>
      </w:pPr>
      <w:r>
        <w:rPr>
          <w:rFonts w:ascii="方正仿宋_GBK" w:hAnsi="方正仿宋_GBK" w:eastAsia="方正仿宋_GBK" w:cs="方正仿宋_GBK"/>
          <w:sz w:val="28"/>
        </w:rPr>
        <w:t xml:space="preserve"> </w:t>
      </w:r>
    </w:p>
    <w:p>
      <w:pPr>
        <w:jc w:val="center"/>
      </w:pPr>
    </w:p>
    <w:p>
      <w:pPr>
        <w:ind w:firstLine="560"/>
        <w:outlineLvl w:val="3"/>
      </w:pPr>
      <w:bookmarkStart w:id="14" w:name="_Toc_4_4_0000000031"/>
      <w:r>
        <w:rPr>
          <w:rFonts w:hint="eastAsia" w:ascii="方正仿宋_GBK" w:hAnsi="方正仿宋_GBK" w:cs="方正仿宋_GBK" w:eastAsiaTheme="minorEastAsia"/>
          <w:sz w:val="28"/>
          <w:lang w:eastAsia="zh-CN"/>
        </w:rPr>
        <w:t>1</w:t>
      </w:r>
      <w:r>
        <w:rPr>
          <w:rFonts w:hint="default" w:ascii="方正仿宋_GBK" w:hAnsi="方正仿宋_GBK" w:cs="方正仿宋_GBK" w:eastAsiaTheme="minorEastAsia"/>
          <w:sz w:val="28"/>
          <w:lang w:val="en" w:eastAsia="zh-CN"/>
        </w:rPr>
        <w:t>6</w:t>
      </w:r>
      <w:r>
        <w:rPr>
          <w:rFonts w:ascii="方正仿宋_GBK" w:hAnsi="方正仿宋_GBK" w:eastAsia="方正仿宋_GBK" w:cs="方正仿宋_GBK"/>
          <w:sz w:val="28"/>
        </w:rPr>
        <w:t>.新北提升泵站改造工程绩效目标表</w:t>
      </w:r>
      <w:bookmarkEnd w:id="14"/>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370201天津市滨海新区排灌事务中心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新北提升泵站改造工程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45000000.00</w:t>
            </w:r>
          </w:p>
        </w:tc>
        <w:tc>
          <w:tcPr>
            <w:tcW w:w="1587" w:type="dxa"/>
            <w:vAlign w:val="center"/>
          </w:tcPr>
          <w:p>
            <w:pPr>
              <w:pStyle w:val="16"/>
            </w:pPr>
            <w:r>
              <w:t>其中：财政    资金</w:t>
            </w:r>
          </w:p>
        </w:tc>
        <w:tc>
          <w:tcPr>
            <w:tcW w:w="1843" w:type="dxa"/>
            <w:vAlign w:val="center"/>
          </w:tcPr>
          <w:p>
            <w:pPr>
              <w:pStyle w:val="15"/>
            </w:pPr>
            <w:r>
              <w:t>45000000.00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PrEx>
        <w:trPr>
          <w:trHeight w:val="369" w:hRule="atLeast"/>
          <w:jc w:val="center"/>
        </w:trPr>
        <w:tc>
          <w:tcPr>
            <w:tcW w:w="1276" w:type="dxa"/>
            <w:vMerge w:val="continue"/>
          </w:tcPr>
          <w:p/>
        </w:tc>
        <w:tc>
          <w:tcPr>
            <w:tcW w:w="8589" w:type="dxa"/>
            <w:gridSpan w:val="6"/>
            <w:vAlign w:val="center"/>
          </w:tcPr>
          <w:p>
            <w:pPr>
              <w:pStyle w:val="15"/>
            </w:pPr>
            <w:r>
              <w:t>改造排水泵站1座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1.通过开展排水泵站改造工作，保障排水设施正常运转。</w:t>
            </w:r>
          </w:p>
        </w:tc>
      </w:tr>
    </w:tbl>
    <w:p>
      <w:pPr>
        <w:spacing w:line="2" w:lineRule="exact"/>
        <w:jc w:val="center"/>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质量指标</w:t>
            </w:r>
          </w:p>
        </w:tc>
        <w:tc>
          <w:tcPr>
            <w:tcW w:w="1332" w:type="dxa"/>
            <w:vAlign w:val="center"/>
          </w:tcPr>
          <w:p>
            <w:pPr>
              <w:pStyle w:val="15"/>
            </w:pPr>
            <w:r>
              <w:t>工程质量达标</w:t>
            </w:r>
          </w:p>
        </w:tc>
        <w:tc>
          <w:tcPr>
            <w:tcW w:w="3430" w:type="dxa"/>
            <w:vAlign w:val="center"/>
          </w:tcPr>
          <w:p>
            <w:pPr>
              <w:pStyle w:val="15"/>
            </w:pPr>
            <w:r>
              <w:t>工程质量达标</w:t>
            </w:r>
          </w:p>
        </w:tc>
        <w:tc>
          <w:tcPr>
            <w:tcW w:w="2551"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工程质量合格率</w:t>
            </w:r>
          </w:p>
        </w:tc>
        <w:tc>
          <w:tcPr>
            <w:tcW w:w="3430" w:type="dxa"/>
            <w:vAlign w:val="center"/>
          </w:tcPr>
          <w:p>
            <w:pPr>
              <w:pStyle w:val="15"/>
            </w:pPr>
            <w:r>
              <w:t>工程质量合格率</w:t>
            </w:r>
          </w:p>
        </w:tc>
        <w:tc>
          <w:tcPr>
            <w:tcW w:w="2551"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建设雨水泵站</w:t>
            </w:r>
          </w:p>
        </w:tc>
        <w:tc>
          <w:tcPr>
            <w:tcW w:w="3430" w:type="dxa"/>
            <w:vAlign w:val="center"/>
          </w:tcPr>
          <w:p>
            <w:pPr>
              <w:pStyle w:val="15"/>
            </w:pPr>
            <w:r>
              <w:t>建设雨水泵站</w:t>
            </w:r>
          </w:p>
        </w:tc>
        <w:tc>
          <w:tcPr>
            <w:tcW w:w="2551" w:type="dxa"/>
            <w:vAlign w:val="center"/>
          </w:tcPr>
          <w:p>
            <w:pPr>
              <w:pStyle w:val="15"/>
            </w:pPr>
            <w:r>
              <w:t>1座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新建泵站及附属用房</w:t>
            </w:r>
          </w:p>
        </w:tc>
        <w:tc>
          <w:tcPr>
            <w:tcW w:w="3430" w:type="dxa"/>
            <w:vAlign w:val="center"/>
          </w:tcPr>
          <w:p>
            <w:pPr>
              <w:pStyle w:val="15"/>
            </w:pPr>
            <w:r>
              <w:t>新建泵站及附属用房</w:t>
            </w:r>
          </w:p>
        </w:tc>
        <w:tc>
          <w:tcPr>
            <w:tcW w:w="2551" w:type="dxa"/>
            <w:vAlign w:val="center"/>
          </w:tcPr>
          <w:p>
            <w:pPr>
              <w:pStyle w:val="15"/>
            </w:pPr>
            <w:r>
              <w:t>1742.08平方米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改造完成时间</w:t>
            </w:r>
          </w:p>
        </w:tc>
        <w:tc>
          <w:tcPr>
            <w:tcW w:w="3430" w:type="dxa"/>
            <w:vAlign w:val="center"/>
          </w:tcPr>
          <w:p>
            <w:pPr>
              <w:pStyle w:val="15"/>
            </w:pPr>
            <w:r>
              <w:t>改造完成时间</w:t>
            </w:r>
          </w:p>
        </w:tc>
        <w:tc>
          <w:tcPr>
            <w:tcW w:w="2551" w:type="dxa"/>
            <w:vAlign w:val="center"/>
          </w:tcPr>
          <w:p>
            <w:pPr>
              <w:pStyle w:val="15"/>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排水泵站改造费用</w:t>
            </w:r>
          </w:p>
        </w:tc>
        <w:tc>
          <w:tcPr>
            <w:tcW w:w="3430" w:type="dxa"/>
            <w:vAlign w:val="center"/>
          </w:tcPr>
          <w:p>
            <w:pPr>
              <w:pStyle w:val="15"/>
            </w:pPr>
            <w:r>
              <w:t>排水泵站改造费用</w:t>
            </w:r>
          </w:p>
        </w:tc>
        <w:tc>
          <w:tcPr>
            <w:tcW w:w="2551" w:type="dxa"/>
            <w:vAlign w:val="center"/>
          </w:tcPr>
          <w:p>
            <w:pPr>
              <w:pStyle w:val="15"/>
            </w:pPr>
            <w:r>
              <w:t>≤4500万元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设施正常运转率</w:t>
            </w:r>
          </w:p>
        </w:tc>
        <w:tc>
          <w:tcPr>
            <w:tcW w:w="3430" w:type="dxa"/>
            <w:vAlign w:val="center"/>
          </w:tcPr>
          <w:p>
            <w:pPr>
              <w:pStyle w:val="15"/>
            </w:pPr>
            <w:r>
              <w:t>设施正常运转率</w:t>
            </w:r>
          </w:p>
        </w:tc>
        <w:tc>
          <w:tcPr>
            <w:tcW w:w="2551" w:type="dxa"/>
            <w:vAlign w:val="center"/>
          </w:tcPr>
          <w:p>
            <w:pPr>
              <w:pStyle w:val="15"/>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周边居民满意度</w:t>
            </w:r>
          </w:p>
        </w:tc>
        <w:tc>
          <w:tcPr>
            <w:tcW w:w="3430" w:type="dxa"/>
            <w:vAlign w:val="center"/>
          </w:tcPr>
          <w:p>
            <w:pPr>
              <w:pStyle w:val="15"/>
            </w:pPr>
            <w:r>
              <w:t>周边居民满意度</w:t>
            </w:r>
          </w:p>
        </w:tc>
        <w:tc>
          <w:tcPr>
            <w:tcW w:w="2551" w:type="dxa"/>
            <w:vAlign w:val="center"/>
          </w:tcPr>
          <w:p>
            <w:pPr>
              <w:pStyle w:val="15"/>
            </w:pPr>
            <w:r>
              <w:t>≥95%</w:t>
            </w:r>
          </w:p>
        </w:tc>
      </w:tr>
    </w:tbl>
    <w:p>
      <w:pPr>
        <w:rPr>
          <w:rFonts w:eastAsiaTheme="minorEastAsia"/>
          <w:lang w:eastAsia="zh-CN"/>
        </w:rPr>
      </w:pPr>
      <w:bookmarkStart w:id="15" w:name="_GoBack"/>
      <w:bookmarkEnd w:id="15"/>
    </w:p>
    <w:sectPr>
      <w:pgSz w:w="11900" w:h="16840"/>
      <w:pgMar w:top="1984" w:right="1304" w:bottom="1134" w:left="130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Microsoft YaHei">
    <w:altName w:val="黑体"/>
    <w:panose1 w:val="00000000000000000000"/>
    <w:charset w:val="00"/>
    <w:family w:val="auto"/>
    <w:pitch w:val="default"/>
    <w:sig w:usb0="00000000" w:usb1="00000000" w:usb2="00000000" w:usb3="00000000" w:csb0="00000000" w:csb1="00000000"/>
  </w:font>
  <w:font w:name="Tahoma">
    <w:altName w:val="Droid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w:fldChar w:fldCharType="begin"/>
    </w:r>
    <w:r>
      <w:instrText xml:space="preserve">PAGE "page number"</w:instrText>
    </w:r>
    <w:r>
      <w:fldChar w:fldCharType="separate"/>
    </w:r>
    <w:r>
      <w:t>15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PAGE "page number"</w:instrText>
    </w:r>
    <w:r>
      <w:fldChar w:fldCharType="separate"/>
    </w:r>
    <w:r>
      <w:t>14</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true"/>
  <w:bordersDoNotSurroundFooter w:val="true"/>
  <w:doNotTrackMoves/>
  <w:documentProtection w:enforcement="0"/>
  <w:defaultTabStop w:val="720"/>
  <w:evenAndOddHeaders w:val="true"/>
  <w:characterSpacingControl w:val="doNotCompress"/>
  <w:compat>
    <w:doNotLeaveBackslashAlone/>
    <w:doNotExpandShiftReturn/>
    <w:adjustLineHeightInTable/>
    <w:useFELayout/>
    <w:compatSetting w:name="compatibilityMode" w:uri="http://schemas.microsoft.com/office/word" w:val="12"/>
  </w:compat>
  <w:rsids>
    <w:rsidRoot w:val="001D1EA7"/>
    <w:rsid w:val="001D1EA7"/>
    <w:rsid w:val="00267CE0"/>
    <w:rsid w:val="002838BE"/>
    <w:rsid w:val="006106A2"/>
    <w:rsid w:val="007477FC"/>
    <w:rsid w:val="00AD5488"/>
    <w:rsid w:val="00B54C6A"/>
    <w:rsid w:val="41BB3F92"/>
    <w:rsid w:val="FAF6B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9"/>
    <w:semiHidden/>
    <w:unhideWhenUsed/>
    <w:qFormat/>
    <w:uiPriority w:val="99"/>
    <w:pPr>
      <w:tabs>
        <w:tab w:val="center" w:pos="4153"/>
        <w:tab w:val="right" w:pos="8306"/>
      </w:tabs>
      <w:snapToGrid w:val="0"/>
    </w:pPr>
    <w:rPr>
      <w:sz w:val="18"/>
      <w:szCs w:val="18"/>
    </w:rPr>
  </w:style>
  <w:style w:type="paragraph" w:styleId="3">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oc 1"/>
    <w:basedOn w:val="1"/>
    <w:next w:val="1"/>
    <w:qFormat/>
    <w:uiPriority w:val="0"/>
    <w:pPr>
      <w:spacing w:before="120"/>
    </w:pPr>
    <w:rPr>
      <w:rFonts w:eastAsia="方正仿宋_GBK" w:cs="Times New Roman"/>
      <w:color w:val="000000"/>
      <w:sz w:val="28"/>
    </w:rPr>
  </w:style>
  <w:style w:type="paragraph" w:styleId="5">
    <w:name w:val="toc 4"/>
    <w:basedOn w:val="1"/>
    <w:next w:val="1"/>
    <w:qFormat/>
    <w:uiPriority w:val="0"/>
    <w:pPr>
      <w:ind w:left="720"/>
    </w:pPr>
  </w:style>
  <w:style w:type="paragraph" w:styleId="6">
    <w:name w:val="toc 2"/>
    <w:basedOn w:val="1"/>
    <w:next w:val="1"/>
    <w:qFormat/>
    <w:uiPriority w:val="0"/>
    <w:pPr>
      <w:ind w:left="240"/>
    </w:pPr>
  </w:style>
  <w:style w:type="table" w:styleId="8">
    <w:name w:val="Table Grid"/>
    <w:basedOn w:val="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10">
    <w:name w:val="插入文本样式-插入总体目标文件"/>
    <w:basedOn w:val="1"/>
    <w:qFormat/>
    <w:uiPriority w:val="0"/>
    <w:pPr>
      <w:spacing w:line="500" w:lineRule="exact"/>
      <w:ind w:firstLine="560"/>
    </w:pPr>
    <w:rPr>
      <w:rFonts w:eastAsia="方正仿宋_GBK" w:cs="Times New Roman"/>
      <w:sz w:val="28"/>
    </w:rPr>
  </w:style>
  <w:style w:type="paragraph" w:customStyle="1" w:styleId="11">
    <w:name w:val="插入文本样式-插入职责分类绩效目标文件"/>
    <w:basedOn w:val="1"/>
    <w:qFormat/>
    <w:uiPriority w:val="0"/>
    <w:pPr>
      <w:spacing w:line="500" w:lineRule="exact"/>
      <w:ind w:firstLine="560"/>
    </w:pPr>
    <w:rPr>
      <w:rFonts w:eastAsia="方正仿宋_GBK" w:cs="Times New Roman"/>
      <w:sz w:val="28"/>
    </w:rPr>
  </w:style>
  <w:style w:type="paragraph" w:customStyle="1" w:styleId="12">
    <w:name w:val="插入文本样式-插入实现年度发展规划目标的保障措施文件"/>
    <w:basedOn w:val="1"/>
    <w:qFormat/>
    <w:uiPriority w:val="0"/>
    <w:pPr>
      <w:spacing w:line="500" w:lineRule="exact"/>
      <w:ind w:firstLine="560"/>
    </w:pPr>
    <w:rPr>
      <w:rFonts w:eastAsia="方正仿宋_GBK" w:cs="Times New Roman"/>
      <w:sz w:val="28"/>
    </w:rPr>
  </w:style>
  <w:style w:type="paragraph" w:customStyle="1" w:styleId="13">
    <w:name w:val="单元格样式4"/>
    <w:basedOn w:val="1"/>
    <w:qFormat/>
    <w:uiPriority w:val="0"/>
    <w:pPr>
      <w:jc w:val="right"/>
    </w:pPr>
    <w:rPr>
      <w:rFonts w:ascii="方正书宋_GBK" w:hAnsi="方正书宋_GBK" w:eastAsia="方正书宋_GBK" w:cs="方正书宋_GBK"/>
      <w:sz w:val="21"/>
    </w:rPr>
  </w:style>
  <w:style w:type="paragraph" w:customStyle="1" w:styleId="14">
    <w:name w:val="单元格样式5"/>
    <w:basedOn w:val="1"/>
    <w:qFormat/>
    <w:uiPriority w:val="0"/>
    <w:rPr>
      <w:rFonts w:ascii="方正书宋_GBK" w:hAnsi="方正书宋_GBK" w:eastAsia="方正书宋_GBK" w:cs="方正书宋_GBK"/>
      <w:b/>
      <w:sz w:val="21"/>
    </w:rPr>
  </w:style>
  <w:style w:type="paragraph" w:customStyle="1" w:styleId="15">
    <w:name w:val="单元格样式2"/>
    <w:basedOn w:val="1"/>
    <w:qFormat/>
    <w:uiPriority w:val="0"/>
    <w:rPr>
      <w:rFonts w:ascii="方正书宋_GBK" w:hAnsi="方正书宋_GBK" w:eastAsia="方正书宋_GBK" w:cs="方正书宋_GBK"/>
      <w:sz w:val="21"/>
    </w:rPr>
  </w:style>
  <w:style w:type="paragraph" w:customStyle="1" w:styleId="16">
    <w:name w:val="单元格样式1"/>
    <w:basedOn w:val="1"/>
    <w:qFormat/>
    <w:uiPriority w:val="0"/>
    <w:pPr>
      <w:jc w:val="center"/>
    </w:pPr>
    <w:rPr>
      <w:rFonts w:ascii="方正书宋_GBK" w:hAnsi="方正书宋_GBK" w:eastAsia="方正书宋_GBK" w:cs="方正书宋_GBK"/>
      <w:b/>
      <w:sz w:val="21"/>
    </w:rPr>
  </w:style>
  <w:style w:type="paragraph" w:customStyle="1" w:styleId="17">
    <w:name w:val="单元格样式3"/>
    <w:basedOn w:val="1"/>
    <w:qFormat/>
    <w:uiPriority w:val="0"/>
    <w:pPr>
      <w:jc w:val="center"/>
    </w:pPr>
    <w:rPr>
      <w:rFonts w:ascii="方正书宋_GBK" w:hAnsi="方正书宋_GBK" w:eastAsia="方正书宋_GBK" w:cs="方正书宋_GBK"/>
      <w:sz w:val="21"/>
    </w:rPr>
  </w:style>
  <w:style w:type="character" w:customStyle="1" w:styleId="18">
    <w:name w:val="页眉 Char"/>
    <w:basedOn w:val="9"/>
    <w:link w:val="3"/>
    <w:semiHidden/>
    <w:qFormat/>
    <w:uiPriority w:val="99"/>
    <w:rPr>
      <w:rFonts w:ascii="Times New Roman" w:hAnsi="Times New Roman" w:eastAsia="Times New Roman"/>
      <w:sz w:val="18"/>
      <w:szCs w:val="18"/>
      <w:lang w:eastAsia="uk-UA"/>
    </w:rPr>
  </w:style>
  <w:style w:type="character" w:customStyle="1" w:styleId="19">
    <w:name w:val="页脚 Char"/>
    <w:basedOn w:val="9"/>
    <w:link w:val="2"/>
    <w:semiHidden/>
    <w:qFormat/>
    <w:uiPriority w:val="99"/>
    <w:rPr>
      <w:rFonts w:ascii="Times New Roman" w:hAnsi="Times New Roman" w:eastAsia="Times New Roman"/>
      <w:sz w:val="18"/>
      <w:szCs w:val="18"/>
      <w:lang w:eastAsia="uk-U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1207</Words>
  <Characters>6886</Characters>
  <Lines>57</Lines>
  <Paragraphs>16</Paragraphs>
  <TotalTime>13</TotalTime>
  <ScaleCrop>false</ScaleCrop>
  <LinksUpToDate>false</LinksUpToDate>
  <CharactersWithSpaces>8077</CharactersWithSpaces>
  <Application>WPS Office_11.8.2.9583_F1E327BC-269C-435d-A152-05C5408002CA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2025-01-21T18:51:00Z</dcterms:created>
  <dc:creator>Dell</dc:creator>
  <cp:lastModifiedBy>张艺馨</cp:lastModifiedBy>
  <dcterms:modified xsi:type="dcterms:W3CDTF">2025-02-24T09:43:24Z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2052-11.8.2.9583</vt:lpwstr>
  </property>
  <property fmtid="{D5CDD505-2E9C-101B-9397-08002B2CF9AE}" pid="3" name="ICV">
    <vt:lpwstr>70BFD46A27354AEABBB0074E0660C1E3_13</vt:lpwstr>
  </property>
</Properties>
</file>