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5AF4" w:rsidRDefault="00BC5AF4"/>
    <w:p w:rsidR="00BC5AF4" w:rsidRDefault="00BC5AF4"/>
    <w:p w:rsidR="00BC5AF4" w:rsidRDefault="00BC5AF4"/>
    <w:p w:rsidR="00BC5AF4" w:rsidRDefault="00BC5AF4"/>
    <w:p w:rsidR="00BC5AF4" w:rsidRDefault="003A1DFE">
      <w:pPr>
        <w:rPr>
          <w:sz w:val="32"/>
          <w:szCs w:val="32"/>
        </w:rPr>
      </w:pPr>
      <w:r>
        <w:rPr>
          <w:rFonts w:hint="eastAsia"/>
          <w:sz w:val="32"/>
          <w:szCs w:val="32"/>
        </w:rPr>
        <w:t>附件</w:t>
      </w:r>
      <w:r>
        <w:rPr>
          <w:rFonts w:hint="eastAsia"/>
          <w:sz w:val="32"/>
          <w:szCs w:val="32"/>
        </w:rPr>
        <w:t>3</w:t>
      </w:r>
    </w:p>
    <w:p w:rsidR="00BC5AF4" w:rsidRDefault="00BC5AF4"/>
    <w:p w:rsidR="00BC5AF4" w:rsidRDefault="003A1DFE">
      <w:pPr>
        <w:spacing w:after="394" w:line="610" w:lineRule="exact"/>
        <w:ind w:firstLine="500"/>
        <w:jc w:val="center"/>
        <w:rPr>
          <w:sz w:val="44"/>
          <w:szCs w:val="44"/>
        </w:rPr>
      </w:pPr>
      <w:r>
        <w:rPr>
          <w:color w:val="000000"/>
          <w:sz w:val="44"/>
          <w:szCs w:val="44"/>
        </w:rPr>
        <w:t>进一步优化供水排水接人配套工程中政务服务工作任务分解表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91"/>
        <w:gridCol w:w="585"/>
        <w:gridCol w:w="2813"/>
        <w:gridCol w:w="1475"/>
        <w:gridCol w:w="1442"/>
        <w:gridCol w:w="1520"/>
      </w:tblGrid>
      <w:tr w:rsidR="00BC5AF4">
        <w:trPr>
          <w:trHeight w:val="360"/>
        </w:trPr>
        <w:tc>
          <w:tcPr>
            <w:tcW w:w="491" w:type="dxa"/>
            <w:vMerge w:val="restart"/>
            <w:noWrap/>
            <w:vAlign w:val="center"/>
          </w:tcPr>
          <w:p w:rsidR="00BC5AF4" w:rsidRDefault="003A1DFE">
            <w:pPr>
              <w:spacing w:line="420" w:lineRule="exact"/>
              <w:jc w:val="center"/>
              <w:rPr>
                <w:b/>
                <w:bCs/>
              </w:rPr>
            </w:pPr>
            <w:r>
              <w:rPr>
                <w:rFonts w:ascii="宋体" w:hAnsi="宋体" w:hint="eastAsia"/>
                <w:b/>
                <w:bCs/>
                <w:color w:val="000000"/>
              </w:rPr>
              <w:t>序号</w:t>
            </w:r>
          </w:p>
        </w:tc>
        <w:tc>
          <w:tcPr>
            <w:tcW w:w="585" w:type="dxa"/>
            <w:vMerge w:val="restart"/>
            <w:noWrap/>
          </w:tcPr>
          <w:p w:rsidR="00BC5AF4" w:rsidRDefault="003A1DFE">
            <w:pPr>
              <w:spacing w:before="24" w:line="420" w:lineRule="exact"/>
              <w:jc w:val="center"/>
              <w:rPr>
                <w:b/>
                <w:bCs/>
              </w:rPr>
            </w:pPr>
            <w:r>
              <w:rPr>
                <w:rFonts w:ascii="宋体" w:hAnsi="宋体" w:hint="eastAsia"/>
                <w:b/>
                <w:bCs/>
                <w:color w:val="000000"/>
              </w:rPr>
              <w:t>主要</w:t>
            </w:r>
          </w:p>
          <w:p w:rsidR="00BC5AF4" w:rsidRDefault="003A1DFE">
            <w:pPr>
              <w:spacing w:line="380" w:lineRule="exact"/>
              <w:jc w:val="center"/>
              <w:rPr>
                <w:b/>
                <w:bCs/>
              </w:rPr>
            </w:pPr>
            <w:r>
              <w:rPr>
                <w:rFonts w:ascii="宋体" w:hAnsi="宋体" w:hint="eastAsia"/>
                <w:b/>
                <w:bCs/>
                <w:color w:val="000000"/>
              </w:rPr>
              <w:t>任务</w:t>
            </w:r>
          </w:p>
        </w:tc>
        <w:tc>
          <w:tcPr>
            <w:tcW w:w="2813" w:type="dxa"/>
            <w:vMerge w:val="restart"/>
            <w:noWrap/>
            <w:vAlign w:val="center"/>
          </w:tcPr>
          <w:p w:rsidR="00BC5AF4" w:rsidRDefault="003A1DFE">
            <w:pPr>
              <w:spacing w:line="340" w:lineRule="exact"/>
              <w:jc w:val="center"/>
              <w:rPr>
                <w:b/>
                <w:bCs/>
              </w:rPr>
            </w:pPr>
            <w:r>
              <w:rPr>
                <w:rFonts w:ascii="宋体" w:hAnsi="宋体" w:hint="eastAsia"/>
                <w:b/>
                <w:bCs/>
                <w:color w:val="000000"/>
              </w:rPr>
              <w:t>主要措施</w:t>
            </w:r>
          </w:p>
        </w:tc>
        <w:tc>
          <w:tcPr>
            <w:tcW w:w="2917" w:type="dxa"/>
            <w:gridSpan w:val="2"/>
            <w:noWrap/>
            <w:vAlign w:val="center"/>
          </w:tcPr>
          <w:p w:rsidR="00BC5AF4" w:rsidRDefault="003A1DFE">
            <w:pPr>
              <w:spacing w:line="360" w:lineRule="exact"/>
              <w:jc w:val="center"/>
              <w:rPr>
                <w:b/>
                <w:bCs/>
              </w:rPr>
            </w:pPr>
            <w:r>
              <w:rPr>
                <w:rFonts w:ascii="宋体" w:hAnsi="宋体" w:hint="eastAsia"/>
                <w:b/>
                <w:bCs/>
                <w:color w:val="000000"/>
              </w:rPr>
              <w:t>责任部门</w:t>
            </w:r>
          </w:p>
        </w:tc>
        <w:tc>
          <w:tcPr>
            <w:tcW w:w="1520" w:type="dxa"/>
            <w:vMerge w:val="restart"/>
            <w:noWrap/>
            <w:vAlign w:val="center"/>
          </w:tcPr>
          <w:p w:rsidR="00BC5AF4" w:rsidRDefault="003A1DFE">
            <w:pPr>
              <w:spacing w:line="360" w:lineRule="exact"/>
              <w:jc w:val="center"/>
              <w:rPr>
                <w:b/>
                <w:bCs/>
              </w:rPr>
            </w:pPr>
            <w:r>
              <w:rPr>
                <w:rFonts w:ascii="宋体" w:hAnsi="宋体" w:hint="eastAsia"/>
                <w:b/>
                <w:bCs/>
                <w:color w:val="000000"/>
              </w:rPr>
              <w:t>完成时限</w:t>
            </w:r>
          </w:p>
        </w:tc>
      </w:tr>
      <w:tr w:rsidR="00BC5AF4">
        <w:trPr>
          <w:trHeight w:val="500"/>
        </w:trPr>
        <w:tc>
          <w:tcPr>
            <w:tcW w:w="491" w:type="dxa"/>
            <w:vMerge/>
            <w:noWrap/>
          </w:tcPr>
          <w:p w:rsidR="00BC5AF4" w:rsidRDefault="00BC5AF4"/>
        </w:tc>
        <w:tc>
          <w:tcPr>
            <w:tcW w:w="585" w:type="dxa"/>
            <w:vMerge/>
            <w:noWrap/>
          </w:tcPr>
          <w:p w:rsidR="00BC5AF4" w:rsidRDefault="00BC5AF4"/>
        </w:tc>
        <w:tc>
          <w:tcPr>
            <w:tcW w:w="2813" w:type="dxa"/>
            <w:vMerge/>
            <w:noWrap/>
          </w:tcPr>
          <w:p w:rsidR="00BC5AF4" w:rsidRDefault="00BC5AF4"/>
        </w:tc>
        <w:tc>
          <w:tcPr>
            <w:tcW w:w="1475" w:type="dxa"/>
            <w:noWrap/>
            <w:vAlign w:val="center"/>
          </w:tcPr>
          <w:p w:rsidR="00BC5AF4" w:rsidRDefault="003A1DFE">
            <w:pPr>
              <w:spacing w:line="380" w:lineRule="exact"/>
              <w:jc w:val="center"/>
            </w:pPr>
            <w:r>
              <w:rPr>
                <w:rFonts w:ascii="宋体" w:hAnsi="宋体" w:hint="eastAsia"/>
                <w:b/>
                <w:bCs/>
                <w:color w:val="000000"/>
              </w:rPr>
              <w:t>牵头部门</w:t>
            </w:r>
          </w:p>
        </w:tc>
        <w:tc>
          <w:tcPr>
            <w:tcW w:w="1442" w:type="dxa"/>
            <w:noWrap/>
            <w:vAlign w:val="center"/>
          </w:tcPr>
          <w:p w:rsidR="00BC5AF4" w:rsidRDefault="003A1DFE">
            <w:pPr>
              <w:spacing w:line="380" w:lineRule="exact"/>
              <w:jc w:val="center"/>
            </w:pPr>
            <w:r>
              <w:rPr>
                <w:rFonts w:ascii="宋体" w:hAnsi="宋体" w:hint="eastAsia"/>
                <w:b/>
                <w:bCs/>
                <w:color w:val="000000"/>
              </w:rPr>
              <w:t>配合部门</w:t>
            </w:r>
          </w:p>
        </w:tc>
        <w:tc>
          <w:tcPr>
            <w:tcW w:w="1520" w:type="dxa"/>
            <w:vMerge/>
            <w:noWrap/>
          </w:tcPr>
          <w:p w:rsidR="00BC5AF4" w:rsidRDefault="00BC5AF4"/>
        </w:tc>
      </w:tr>
      <w:tr w:rsidR="00BC5AF4">
        <w:trPr>
          <w:trHeight w:val="2140"/>
        </w:trPr>
        <w:tc>
          <w:tcPr>
            <w:tcW w:w="491" w:type="dxa"/>
            <w:noWrap/>
          </w:tcPr>
          <w:p w:rsidR="00BC5AF4" w:rsidRDefault="003A1DFE">
            <w:pPr>
              <w:spacing w:before="739" w:line="480" w:lineRule="exact"/>
              <w:jc w:val="center"/>
            </w:pPr>
            <w:r>
              <w:rPr>
                <w:rFonts w:ascii="宋体" w:hAnsi="宋体" w:hint="eastAsia"/>
                <w:color w:val="000000"/>
              </w:rPr>
              <w:t>1</w:t>
            </w:r>
          </w:p>
        </w:tc>
        <w:tc>
          <w:tcPr>
            <w:tcW w:w="585" w:type="dxa"/>
            <w:vMerge w:val="restart"/>
            <w:noWrap/>
          </w:tcPr>
          <w:p w:rsidR="00BC5AF4" w:rsidRDefault="00BC5AF4">
            <w:pPr>
              <w:spacing w:before="949" w:line="380" w:lineRule="exact"/>
              <w:jc w:val="center"/>
              <w:rPr>
                <w:rFonts w:ascii="宋体" w:hAnsi="宋体"/>
                <w:color w:val="000000"/>
              </w:rPr>
            </w:pPr>
          </w:p>
          <w:p w:rsidR="00BC5AF4" w:rsidRDefault="003A1DFE">
            <w:pPr>
              <w:spacing w:before="949" w:line="380" w:lineRule="exact"/>
              <w:jc w:val="center"/>
            </w:pPr>
            <w:r>
              <w:rPr>
                <w:rFonts w:ascii="宋体" w:hAnsi="宋体" w:hint="eastAsia"/>
                <w:color w:val="000000"/>
              </w:rPr>
              <w:t>推行</w:t>
            </w:r>
          </w:p>
          <w:p w:rsidR="00BC5AF4" w:rsidRDefault="003A1DFE">
            <w:pPr>
              <w:spacing w:line="360" w:lineRule="exact"/>
              <w:jc w:val="center"/>
            </w:pPr>
            <w:r>
              <w:rPr>
                <w:rFonts w:ascii="宋体" w:hAnsi="宋体" w:hint="eastAsia"/>
                <w:color w:val="000000"/>
              </w:rPr>
              <w:t>供水</w:t>
            </w:r>
          </w:p>
          <w:p w:rsidR="00BC5AF4" w:rsidRDefault="003A1DFE">
            <w:pPr>
              <w:spacing w:line="360" w:lineRule="exact"/>
              <w:jc w:val="center"/>
            </w:pPr>
            <w:r>
              <w:rPr>
                <w:rFonts w:ascii="宋体" w:hAnsi="宋体" w:hint="eastAsia"/>
                <w:color w:val="000000"/>
              </w:rPr>
              <w:t>排水</w:t>
            </w:r>
          </w:p>
          <w:p w:rsidR="00BC5AF4" w:rsidRDefault="003A1DFE">
            <w:pPr>
              <w:spacing w:line="380" w:lineRule="exact"/>
              <w:jc w:val="center"/>
            </w:pPr>
            <w:r>
              <w:rPr>
                <w:rFonts w:ascii="宋体" w:hAnsi="宋体" w:hint="eastAsia"/>
                <w:color w:val="000000"/>
              </w:rPr>
              <w:t>接入</w:t>
            </w:r>
          </w:p>
          <w:p w:rsidR="00BC5AF4" w:rsidRDefault="003A1DFE">
            <w:pPr>
              <w:spacing w:line="380" w:lineRule="exact"/>
              <w:jc w:val="center"/>
            </w:pPr>
            <w:r>
              <w:rPr>
                <w:rFonts w:ascii="宋体" w:hAnsi="宋体" w:hint="eastAsia"/>
                <w:color w:val="000000"/>
              </w:rPr>
              <w:t>工程</w:t>
            </w:r>
          </w:p>
          <w:p w:rsidR="00BC5AF4" w:rsidRDefault="003A1DFE">
            <w:pPr>
              <w:spacing w:line="220" w:lineRule="exact"/>
              <w:jc w:val="center"/>
            </w:pPr>
            <w:r>
              <w:rPr>
                <w:rFonts w:ascii="宋体" w:hAnsi="宋体" w:hint="eastAsia"/>
                <w:color w:val="000000"/>
              </w:rPr>
              <w:t>“一站</w:t>
            </w:r>
          </w:p>
          <w:p w:rsidR="00BC5AF4" w:rsidRDefault="003A1DFE">
            <w:pPr>
              <w:spacing w:line="380" w:lineRule="exact"/>
              <w:jc w:val="center"/>
            </w:pPr>
            <w:r>
              <w:rPr>
                <w:rFonts w:ascii="宋体" w:hAnsi="宋体" w:hint="eastAsia"/>
                <w:color w:val="000000"/>
              </w:rPr>
              <w:t>式”办</w:t>
            </w:r>
          </w:p>
          <w:p w:rsidR="00BC5AF4" w:rsidRDefault="003A1DFE">
            <w:pPr>
              <w:spacing w:line="380" w:lineRule="exact"/>
              <w:jc w:val="center"/>
            </w:pPr>
            <w:r>
              <w:rPr>
                <w:rFonts w:ascii="宋体" w:hAnsi="宋体" w:hint="eastAsia"/>
                <w:color w:val="000000"/>
              </w:rPr>
              <w:t>理政</w:t>
            </w:r>
          </w:p>
          <w:p w:rsidR="00BC5AF4" w:rsidRDefault="003A1DFE">
            <w:pPr>
              <w:spacing w:line="360" w:lineRule="exact"/>
              <w:jc w:val="center"/>
            </w:pPr>
            <w:r>
              <w:rPr>
                <w:rFonts w:ascii="宋体" w:hAnsi="宋体" w:hint="eastAsia"/>
                <w:color w:val="000000"/>
              </w:rPr>
              <w:t>务服</w:t>
            </w:r>
          </w:p>
          <w:p w:rsidR="00BC5AF4" w:rsidRDefault="003A1DFE">
            <w:pPr>
              <w:spacing w:line="340" w:lineRule="exact"/>
              <w:jc w:val="center"/>
            </w:pPr>
            <w:r>
              <w:rPr>
                <w:rFonts w:ascii="宋体" w:hAnsi="宋体" w:hint="eastAsia"/>
                <w:color w:val="000000"/>
              </w:rPr>
              <w:t>务</w:t>
            </w:r>
          </w:p>
        </w:tc>
        <w:tc>
          <w:tcPr>
            <w:tcW w:w="2813" w:type="dxa"/>
            <w:noWrap/>
          </w:tcPr>
          <w:p w:rsidR="00BC5AF4" w:rsidRDefault="003A1DFE">
            <w:pPr>
              <w:spacing w:before="601" w:line="340" w:lineRule="exact"/>
            </w:pPr>
            <w:r>
              <w:rPr>
                <w:rFonts w:ascii="宋体" w:hAnsi="宋体" w:hint="eastAsia"/>
                <w:color w:val="000000"/>
              </w:rPr>
              <w:t>依据法律法规，新增排水报装事项，将排水报装事项纳入工程建设项目联审流程，实现供水排水配套接入“一网通办”。</w:t>
            </w:r>
          </w:p>
        </w:tc>
        <w:tc>
          <w:tcPr>
            <w:tcW w:w="1475" w:type="dxa"/>
            <w:noWrap/>
          </w:tcPr>
          <w:p w:rsidR="00BC5AF4" w:rsidRDefault="003A1DFE">
            <w:pPr>
              <w:spacing w:before="175" w:line="360" w:lineRule="exact"/>
              <w:jc w:val="center"/>
            </w:pPr>
            <w:r>
              <w:rPr>
                <w:rFonts w:ascii="宋体" w:hAnsi="宋体" w:hint="eastAsia"/>
                <w:color w:val="000000"/>
              </w:rPr>
              <w:t>区水务局牵头完善排水报装政务服务事项</w:t>
            </w:r>
          </w:p>
          <w:p w:rsidR="00BC5AF4" w:rsidRDefault="003A1DFE">
            <w:pPr>
              <w:spacing w:line="360" w:lineRule="exact"/>
              <w:jc w:val="center"/>
            </w:pPr>
            <w:r>
              <w:rPr>
                <w:rFonts w:ascii="宋体" w:hAnsi="宋体" w:hint="eastAsia"/>
                <w:color w:val="000000"/>
              </w:rPr>
              <w:t>操作规程；区政务服务办牵头将排水报装纳</w:t>
            </w:r>
          </w:p>
          <w:p w:rsidR="00BC5AF4" w:rsidRDefault="003A1DFE">
            <w:pPr>
              <w:spacing w:line="320" w:lineRule="exact"/>
              <w:jc w:val="center"/>
            </w:pPr>
            <w:r>
              <w:rPr>
                <w:rFonts w:ascii="宋体" w:hAnsi="宋体" w:hint="eastAsia"/>
                <w:color w:val="000000"/>
              </w:rPr>
              <w:t>入工程建设项目联审</w:t>
            </w:r>
          </w:p>
          <w:p w:rsidR="00BC5AF4" w:rsidRDefault="003A1DFE">
            <w:pPr>
              <w:spacing w:line="360" w:lineRule="exact"/>
              <w:jc w:val="center"/>
            </w:pPr>
            <w:r>
              <w:rPr>
                <w:rFonts w:ascii="宋体" w:hAnsi="宋体" w:hint="eastAsia"/>
                <w:color w:val="000000"/>
              </w:rPr>
              <w:t>流程</w:t>
            </w:r>
          </w:p>
        </w:tc>
        <w:tc>
          <w:tcPr>
            <w:tcW w:w="1442" w:type="dxa"/>
            <w:noWrap/>
            <w:vAlign w:val="center"/>
          </w:tcPr>
          <w:p w:rsidR="00BC5AF4" w:rsidRDefault="00BC5AF4">
            <w:pPr>
              <w:spacing w:line="260" w:lineRule="exact"/>
              <w:jc w:val="center"/>
            </w:pPr>
          </w:p>
        </w:tc>
        <w:tc>
          <w:tcPr>
            <w:tcW w:w="1520" w:type="dxa"/>
            <w:noWrap/>
          </w:tcPr>
          <w:p w:rsidR="00BC5AF4" w:rsidRDefault="00BC5AF4">
            <w:pPr>
              <w:spacing w:before="455" w:line="360" w:lineRule="exact"/>
            </w:pPr>
          </w:p>
        </w:tc>
      </w:tr>
      <w:tr w:rsidR="00BC5AF4">
        <w:trPr>
          <w:trHeight w:val="2700"/>
        </w:trPr>
        <w:tc>
          <w:tcPr>
            <w:tcW w:w="491" w:type="dxa"/>
            <w:noWrap/>
          </w:tcPr>
          <w:p w:rsidR="00BC5AF4" w:rsidRDefault="003A1DFE">
            <w:pPr>
              <w:spacing w:before="1029" w:line="460" w:lineRule="exact"/>
              <w:jc w:val="center"/>
            </w:pPr>
            <w:r>
              <w:rPr>
                <w:rFonts w:ascii="宋体" w:hAnsi="宋体" w:hint="eastAsia"/>
                <w:color w:val="000000"/>
              </w:rPr>
              <w:t>2</w:t>
            </w:r>
          </w:p>
        </w:tc>
        <w:tc>
          <w:tcPr>
            <w:tcW w:w="585" w:type="dxa"/>
            <w:vMerge/>
            <w:noWrap/>
          </w:tcPr>
          <w:p w:rsidR="00BC5AF4" w:rsidRDefault="00BC5AF4">
            <w:pPr>
              <w:jc w:val="center"/>
            </w:pPr>
          </w:p>
        </w:tc>
        <w:tc>
          <w:tcPr>
            <w:tcW w:w="2813" w:type="dxa"/>
            <w:noWrap/>
          </w:tcPr>
          <w:p w:rsidR="00BC5AF4" w:rsidRDefault="003A1DFE">
            <w:pPr>
              <w:spacing w:before="172" w:line="360" w:lineRule="exact"/>
              <w:jc w:val="center"/>
            </w:pPr>
            <w:r>
              <w:rPr>
                <w:rFonts w:ascii="宋体" w:hAnsi="宋体" w:hint="eastAsia"/>
                <w:color w:val="000000"/>
              </w:rPr>
              <w:t>优化供水排水接入配套工程中申办政务服务事项流程和渠道，推行“一站式”办理政务服务事项。按照法律法规，统一梳理、精简供水排水配套接入过程中涉及的合法必要政务服务事项及申请材料，凡不属于法律法规要求办理的政务服</w:t>
            </w:r>
          </w:p>
          <w:p w:rsidR="00BC5AF4" w:rsidRDefault="003A1DFE">
            <w:pPr>
              <w:spacing w:line="360" w:lineRule="exact"/>
              <w:jc w:val="center"/>
            </w:pPr>
            <w:r>
              <w:rPr>
                <w:rFonts w:ascii="宋体" w:hAnsi="宋体" w:hint="eastAsia"/>
                <w:color w:val="000000"/>
              </w:rPr>
              <w:t>务事项和提供的申请材料一律取消，编制公布供水排水接入配套工程“一站式”办理政务服务事项清单及申请材料清单，提升政务服务效率。</w:t>
            </w:r>
          </w:p>
        </w:tc>
        <w:tc>
          <w:tcPr>
            <w:tcW w:w="1475" w:type="dxa"/>
            <w:noWrap/>
          </w:tcPr>
          <w:p w:rsidR="00BC5AF4" w:rsidRDefault="003A1DFE">
            <w:pPr>
              <w:spacing w:before="1024" w:line="360" w:lineRule="exact"/>
              <w:jc w:val="center"/>
            </w:pPr>
            <w:r>
              <w:rPr>
                <w:rFonts w:ascii="宋体" w:hAnsi="宋体" w:hint="eastAsia"/>
                <w:color w:val="000000"/>
              </w:rPr>
              <w:t>区水务局、区政务服务办</w:t>
            </w:r>
          </w:p>
        </w:tc>
        <w:tc>
          <w:tcPr>
            <w:tcW w:w="1442" w:type="dxa"/>
            <w:noWrap/>
          </w:tcPr>
          <w:p w:rsidR="00BC5AF4" w:rsidRDefault="003A1DFE">
            <w:pPr>
              <w:spacing w:before="894" w:line="320" w:lineRule="exact"/>
              <w:jc w:val="center"/>
            </w:pPr>
            <w:r>
              <w:rPr>
                <w:rFonts w:ascii="宋体" w:hAnsi="宋体" w:hint="eastAsia"/>
                <w:color w:val="000000"/>
              </w:rPr>
              <w:t>市规自局滨海分局、区城市</w:t>
            </w:r>
          </w:p>
          <w:p w:rsidR="00BC5AF4" w:rsidRDefault="003A1DFE">
            <w:pPr>
              <w:spacing w:line="320" w:lineRule="exact"/>
              <w:jc w:val="center"/>
            </w:pPr>
            <w:r>
              <w:rPr>
                <w:rFonts w:ascii="宋体" w:hAnsi="宋体" w:hint="eastAsia"/>
                <w:color w:val="000000"/>
              </w:rPr>
              <w:t>管理委、区住建委</w:t>
            </w:r>
          </w:p>
        </w:tc>
        <w:tc>
          <w:tcPr>
            <w:tcW w:w="1520" w:type="dxa"/>
            <w:noWrap/>
            <w:vAlign w:val="center"/>
          </w:tcPr>
          <w:p w:rsidR="00BC5AF4" w:rsidRDefault="003A1DFE">
            <w:pPr>
              <w:spacing w:line="380" w:lineRule="exact"/>
              <w:jc w:val="center"/>
            </w:pPr>
            <w:r>
              <w:rPr>
                <w:rFonts w:ascii="宋体" w:hAnsi="宋体" w:hint="eastAsia"/>
                <w:color w:val="000000"/>
              </w:rPr>
              <w:t>持续优化</w:t>
            </w:r>
          </w:p>
        </w:tc>
      </w:tr>
    </w:tbl>
    <w:p w:rsidR="00BC5AF4" w:rsidRDefault="00BC5AF4">
      <w:pPr>
        <w:ind w:firstLine="201"/>
        <w:jc w:val="center"/>
      </w:pPr>
    </w:p>
    <w:p w:rsidR="00BC5AF4" w:rsidRDefault="003A1DFE">
      <w:pPr>
        <w:ind w:firstLine="201"/>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37"/>
        <w:gridCol w:w="527"/>
        <w:gridCol w:w="2810"/>
        <w:gridCol w:w="1506"/>
        <w:gridCol w:w="1491"/>
        <w:gridCol w:w="1555"/>
      </w:tblGrid>
      <w:tr w:rsidR="00BC5AF4">
        <w:trPr>
          <w:trHeight w:val="414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3</w:t>
            </w:r>
          </w:p>
        </w:tc>
        <w:tc>
          <w:tcPr>
            <w:tcW w:w="527" w:type="dxa"/>
            <w:vMerge w:val="restart"/>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3A1DFE">
            <w:pPr>
              <w:spacing w:line="360" w:lineRule="exact"/>
              <w:jc w:val="center"/>
              <w:rPr>
                <w:rFonts w:ascii="宋体" w:hAnsi="宋体"/>
                <w:color w:val="000000"/>
              </w:rPr>
            </w:pPr>
            <w:r>
              <w:rPr>
                <w:rFonts w:ascii="宋体" w:hAnsi="宋体" w:hint="eastAsia"/>
                <w:color w:val="000000"/>
              </w:rPr>
              <w:t>推行</w:t>
            </w:r>
          </w:p>
          <w:p w:rsidR="00BC5AF4" w:rsidRDefault="003A1DFE">
            <w:pPr>
              <w:spacing w:line="360" w:lineRule="exact"/>
              <w:jc w:val="center"/>
              <w:rPr>
                <w:rFonts w:ascii="宋体" w:hAnsi="宋体"/>
                <w:color w:val="000000"/>
              </w:rPr>
            </w:pPr>
            <w:r>
              <w:rPr>
                <w:rFonts w:ascii="宋体" w:hAnsi="宋体" w:hint="eastAsia"/>
                <w:color w:val="000000"/>
              </w:rPr>
              <w:t>排水</w:t>
            </w:r>
          </w:p>
          <w:p w:rsidR="00BC5AF4" w:rsidRDefault="003A1DFE">
            <w:pPr>
              <w:spacing w:line="360" w:lineRule="exact"/>
              <w:jc w:val="center"/>
              <w:rPr>
                <w:rFonts w:ascii="宋体" w:hAnsi="宋体"/>
                <w:color w:val="000000"/>
              </w:rPr>
            </w:pPr>
            <w:r>
              <w:rPr>
                <w:rFonts w:ascii="宋体" w:hAnsi="宋体" w:hint="eastAsia"/>
                <w:color w:val="000000"/>
              </w:rPr>
              <w:t>行政</w:t>
            </w:r>
          </w:p>
          <w:p w:rsidR="00BC5AF4" w:rsidRDefault="003A1DFE">
            <w:pPr>
              <w:spacing w:line="360" w:lineRule="exact"/>
              <w:jc w:val="center"/>
              <w:rPr>
                <w:rFonts w:ascii="宋体" w:hAnsi="宋体"/>
                <w:color w:val="000000"/>
              </w:rPr>
            </w:pPr>
            <w:r>
              <w:rPr>
                <w:rFonts w:ascii="宋体" w:hAnsi="宋体" w:hint="eastAsia"/>
                <w:color w:val="000000"/>
              </w:rPr>
              <w:t>许可</w:t>
            </w:r>
          </w:p>
          <w:p w:rsidR="00BC5AF4" w:rsidRDefault="003A1DFE">
            <w:pPr>
              <w:spacing w:line="360" w:lineRule="exact"/>
              <w:jc w:val="center"/>
              <w:rPr>
                <w:rFonts w:ascii="宋体" w:hAnsi="宋体"/>
                <w:color w:val="000000"/>
              </w:rPr>
            </w:pPr>
            <w:r>
              <w:rPr>
                <w:rFonts w:ascii="宋体" w:hAnsi="宋体" w:hint="eastAsia"/>
                <w:color w:val="000000"/>
              </w:rPr>
              <w:t>事项</w:t>
            </w:r>
          </w:p>
          <w:p w:rsidR="00BC5AF4" w:rsidRDefault="003A1DFE">
            <w:pPr>
              <w:spacing w:line="360" w:lineRule="exact"/>
              <w:jc w:val="center"/>
              <w:rPr>
                <w:rFonts w:ascii="宋体" w:hAnsi="宋体"/>
                <w:color w:val="000000"/>
              </w:rPr>
            </w:pPr>
            <w:r>
              <w:rPr>
                <w:rFonts w:ascii="宋体" w:hAnsi="宋体" w:hint="eastAsia"/>
                <w:color w:val="000000"/>
              </w:rPr>
              <w:t>并联</w:t>
            </w:r>
          </w:p>
        </w:tc>
        <w:tc>
          <w:tcPr>
            <w:tcW w:w="2810" w:type="dxa"/>
            <w:noWrap/>
          </w:tcPr>
          <w:p w:rsidR="00BC5AF4" w:rsidRDefault="003A1DFE">
            <w:pPr>
              <w:spacing w:line="360" w:lineRule="exact"/>
              <w:jc w:val="center"/>
              <w:rPr>
                <w:rFonts w:ascii="宋体" w:hAnsi="宋体"/>
                <w:color w:val="000000"/>
              </w:rPr>
            </w:pPr>
            <w:r>
              <w:rPr>
                <w:rFonts w:ascii="宋体" w:hAnsi="宋体" w:hint="eastAsia"/>
                <w:color w:val="000000"/>
              </w:rPr>
              <w:t>完善用水报装系统，完成政务云部署联通、域名提供、津心办连接等工作，实现微信公众号和津心办</w:t>
            </w:r>
            <w:r>
              <w:rPr>
                <w:rFonts w:ascii="宋体" w:hAnsi="宋体" w:hint="eastAsia"/>
                <w:color w:val="000000"/>
              </w:rPr>
              <w:t>APP</w:t>
            </w:r>
            <w:r>
              <w:rPr>
                <w:rFonts w:ascii="宋体" w:hAnsi="宋体" w:hint="eastAsia"/>
                <w:color w:val="000000"/>
              </w:rPr>
              <w:t>申请用水报装的渠道，实现用水报装“好差评”和用水报装投诉反馈功能，完成用水报装系统与“政务一网通”平台的互联互通。</w:t>
            </w:r>
          </w:p>
        </w:tc>
        <w:tc>
          <w:tcPr>
            <w:tcW w:w="1506" w:type="dxa"/>
            <w:noWrap/>
          </w:tcPr>
          <w:p w:rsidR="00BC5AF4" w:rsidRDefault="003A1DFE">
            <w:pPr>
              <w:spacing w:line="360" w:lineRule="exact"/>
              <w:jc w:val="center"/>
              <w:rPr>
                <w:rFonts w:ascii="宋体" w:hAnsi="宋体"/>
                <w:color w:val="000000"/>
              </w:rPr>
            </w:pPr>
            <w:r>
              <w:rPr>
                <w:rFonts w:ascii="宋体" w:hAnsi="宋体" w:hint="eastAsia"/>
                <w:color w:val="000000"/>
              </w:rPr>
              <w:t>区水务局牵头完善用水报装系统；区网信办</w:t>
            </w:r>
          </w:p>
          <w:p w:rsidR="00BC5AF4" w:rsidRDefault="003A1DFE">
            <w:pPr>
              <w:spacing w:line="360" w:lineRule="exact"/>
              <w:jc w:val="center"/>
              <w:rPr>
                <w:rFonts w:ascii="宋体" w:hAnsi="宋体"/>
                <w:color w:val="000000"/>
              </w:rPr>
            </w:pPr>
            <w:r>
              <w:rPr>
                <w:rFonts w:ascii="宋体" w:hAnsi="宋体" w:hint="eastAsia"/>
                <w:color w:val="000000"/>
              </w:rPr>
              <w:t>牵头完成政务云部署联通、津心办连接等工作，区政务服务办、区网信办、区水务局牵头完成用水报装系统与“政务一网通”平台的互</w:t>
            </w:r>
          </w:p>
          <w:p w:rsidR="00BC5AF4" w:rsidRDefault="003A1DFE">
            <w:pPr>
              <w:spacing w:line="360" w:lineRule="exact"/>
              <w:jc w:val="center"/>
              <w:rPr>
                <w:rFonts w:ascii="宋体" w:hAnsi="宋体"/>
                <w:color w:val="000000"/>
              </w:rPr>
            </w:pPr>
            <w:r>
              <w:rPr>
                <w:rFonts w:ascii="宋体" w:hAnsi="宋体" w:hint="eastAsia"/>
                <w:color w:val="000000"/>
              </w:rPr>
              <w:t>联互通</w:t>
            </w:r>
          </w:p>
        </w:tc>
        <w:tc>
          <w:tcPr>
            <w:tcW w:w="1491" w:type="dxa"/>
            <w:noWrap/>
          </w:tcPr>
          <w:p w:rsidR="00BC5AF4" w:rsidRDefault="003A1DFE">
            <w:pPr>
              <w:spacing w:line="360" w:lineRule="exact"/>
              <w:jc w:val="center"/>
              <w:rPr>
                <w:rFonts w:ascii="宋体" w:hAnsi="宋体"/>
                <w:color w:val="000000"/>
              </w:rPr>
            </w:pPr>
            <w:r>
              <w:rPr>
                <w:rFonts w:ascii="宋体" w:hAnsi="宋体" w:hint="eastAsia"/>
                <w:color w:val="000000"/>
              </w:rPr>
              <w:t>市规自局滨海分局、区城市</w:t>
            </w:r>
          </w:p>
          <w:p w:rsidR="00BC5AF4" w:rsidRDefault="003A1DFE">
            <w:pPr>
              <w:spacing w:line="360" w:lineRule="exact"/>
              <w:jc w:val="center"/>
              <w:rPr>
                <w:rFonts w:ascii="宋体" w:hAnsi="宋体"/>
                <w:color w:val="000000"/>
              </w:rPr>
            </w:pPr>
            <w:r>
              <w:rPr>
                <w:rFonts w:ascii="宋体" w:hAnsi="宋体" w:hint="eastAsia"/>
                <w:color w:val="000000"/>
              </w:rPr>
              <w:t>管理委、区住建委、区公安交管局</w:t>
            </w:r>
          </w:p>
        </w:tc>
        <w:tc>
          <w:tcPr>
            <w:tcW w:w="1555" w:type="dxa"/>
            <w:noWrap/>
            <w:vAlign w:val="center"/>
          </w:tcPr>
          <w:p w:rsidR="00BC5AF4" w:rsidRDefault="00BC5AF4">
            <w:pPr>
              <w:spacing w:line="360" w:lineRule="exact"/>
              <w:jc w:val="center"/>
              <w:rPr>
                <w:rFonts w:ascii="宋体" w:hAnsi="宋体"/>
                <w:color w:val="000000"/>
              </w:rPr>
            </w:pPr>
          </w:p>
        </w:tc>
      </w:tr>
      <w:tr w:rsidR="00BC5AF4">
        <w:trPr>
          <w:trHeight w:val="260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4</w:t>
            </w:r>
          </w:p>
        </w:tc>
        <w:tc>
          <w:tcPr>
            <w:tcW w:w="527" w:type="dxa"/>
            <w:vMerge/>
            <w:noWrap/>
          </w:tcPr>
          <w:p w:rsidR="00BC5AF4" w:rsidRDefault="00BC5AF4">
            <w:pPr>
              <w:spacing w:line="360" w:lineRule="exact"/>
              <w:jc w:val="center"/>
              <w:rPr>
                <w:rFonts w:ascii="宋体" w:hAnsi="宋体"/>
                <w:color w:val="000000"/>
              </w:rPr>
            </w:pPr>
          </w:p>
        </w:tc>
        <w:tc>
          <w:tcPr>
            <w:tcW w:w="2810"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对于供水排水接入配套工程，在办理建设工程规划许可证时，涉及占用挖掘城市道路、临时占用城市绿化用地的，同步将相关信息推送至公安交</w:t>
            </w:r>
          </w:p>
          <w:p w:rsidR="00BC5AF4" w:rsidRDefault="003A1DFE">
            <w:pPr>
              <w:spacing w:line="360" w:lineRule="exact"/>
              <w:jc w:val="center"/>
              <w:rPr>
                <w:rFonts w:ascii="宋体" w:hAnsi="宋体"/>
                <w:color w:val="000000"/>
              </w:rPr>
            </w:pPr>
            <w:r>
              <w:rPr>
                <w:rFonts w:ascii="宋体" w:hAnsi="宋体" w:hint="eastAsia"/>
                <w:color w:val="000000"/>
              </w:rPr>
              <w:t>管、城市管理部门，实行占用挖掘城市道路（含内部征询公安交管部门意见）、临时占用城市绿化用地等事项并联办理、信息共享的审批机制。</w:t>
            </w:r>
          </w:p>
        </w:tc>
        <w:tc>
          <w:tcPr>
            <w:tcW w:w="1506" w:type="dxa"/>
            <w:noWrap/>
          </w:tcPr>
          <w:p w:rsidR="00BC5AF4" w:rsidRDefault="003A1DFE">
            <w:pPr>
              <w:spacing w:line="360" w:lineRule="exact"/>
              <w:jc w:val="center"/>
              <w:rPr>
                <w:rFonts w:ascii="宋体" w:hAnsi="宋体"/>
                <w:color w:val="000000"/>
              </w:rPr>
            </w:pPr>
            <w:r>
              <w:rPr>
                <w:rFonts w:ascii="宋体" w:hAnsi="宋体" w:hint="eastAsia"/>
                <w:color w:val="000000"/>
              </w:rPr>
              <w:t>市规自局滨海分局、区城市</w:t>
            </w:r>
          </w:p>
          <w:p w:rsidR="00BC5AF4" w:rsidRDefault="003A1DFE">
            <w:pPr>
              <w:spacing w:line="360" w:lineRule="exact"/>
              <w:jc w:val="center"/>
              <w:rPr>
                <w:rFonts w:ascii="宋体" w:hAnsi="宋体"/>
                <w:color w:val="000000"/>
              </w:rPr>
            </w:pPr>
            <w:r>
              <w:rPr>
                <w:rFonts w:ascii="宋体" w:hAnsi="宋体" w:hint="eastAsia"/>
                <w:color w:val="000000"/>
              </w:rPr>
              <w:t>管理委、区公安交管局按事项职能分别牵头</w:t>
            </w:r>
          </w:p>
        </w:tc>
        <w:tc>
          <w:tcPr>
            <w:tcW w:w="1491" w:type="dxa"/>
            <w:noWrap/>
            <w:vAlign w:val="center"/>
          </w:tcPr>
          <w:p w:rsidR="00BC5AF4" w:rsidRDefault="00BC5AF4">
            <w:pPr>
              <w:spacing w:line="360" w:lineRule="exact"/>
              <w:jc w:val="center"/>
              <w:rPr>
                <w:rFonts w:ascii="宋体" w:hAnsi="宋体"/>
                <w:color w:val="000000"/>
              </w:rPr>
            </w:pPr>
          </w:p>
        </w:tc>
        <w:tc>
          <w:tcPr>
            <w:tcW w:w="1555" w:type="dxa"/>
            <w:noWrap/>
          </w:tcPr>
          <w:p w:rsidR="00BC5AF4" w:rsidRDefault="00BC5AF4">
            <w:pPr>
              <w:spacing w:line="360" w:lineRule="exact"/>
              <w:jc w:val="center"/>
              <w:rPr>
                <w:rFonts w:ascii="宋体" w:hAnsi="宋体"/>
                <w:color w:val="000000"/>
              </w:rPr>
            </w:pPr>
          </w:p>
          <w:p w:rsidR="00BC5AF4" w:rsidRDefault="003A1DFE">
            <w:pPr>
              <w:spacing w:line="360" w:lineRule="exact"/>
              <w:jc w:val="center"/>
              <w:rPr>
                <w:rFonts w:ascii="宋体" w:hAnsi="宋体"/>
                <w:color w:val="000000"/>
              </w:rPr>
            </w:pPr>
            <w:r>
              <w:rPr>
                <w:rFonts w:ascii="宋体" w:hAnsi="宋体" w:hint="eastAsia"/>
                <w:color w:val="000000"/>
              </w:rPr>
              <w:t>文件印发后即执行</w:t>
            </w:r>
          </w:p>
        </w:tc>
      </w:tr>
      <w:tr w:rsidR="00BC5AF4">
        <w:trPr>
          <w:trHeight w:val="178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5</w:t>
            </w:r>
          </w:p>
        </w:tc>
        <w:tc>
          <w:tcPr>
            <w:tcW w:w="527" w:type="dxa"/>
            <w:vMerge/>
            <w:noWrap/>
          </w:tcPr>
          <w:p w:rsidR="00BC5AF4" w:rsidRDefault="00BC5AF4">
            <w:pPr>
              <w:spacing w:line="360" w:lineRule="exact"/>
              <w:jc w:val="center"/>
              <w:rPr>
                <w:rFonts w:ascii="宋体" w:hAnsi="宋体"/>
                <w:color w:val="000000"/>
              </w:rPr>
            </w:pPr>
          </w:p>
        </w:tc>
        <w:tc>
          <w:tcPr>
            <w:tcW w:w="2810" w:type="dxa"/>
            <w:noWrap/>
          </w:tcPr>
          <w:p w:rsidR="00BC5AF4" w:rsidRDefault="003A1DFE">
            <w:pPr>
              <w:spacing w:line="360" w:lineRule="exact"/>
              <w:jc w:val="center"/>
              <w:rPr>
                <w:rFonts w:ascii="宋体" w:hAnsi="宋体"/>
                <w:color w:val="000000"/>
              </w:rPr>
            </w:pPr>
            <w:r>
              <w:rPr>
                <w:rFonts w:ascii="宋体" w:hAnsi="宋体" w:hint="eastAsia"/>
                <w:color w:val="000000"/>
              </w:rPr>
              <w:t>建立政府审批部门协商联办机制，及时解决联办过程中出现的问题和分析，难以协调解决的，上报我区优化营商环境工作联席会议协调解决。</w:t>
            </w:r>
          </w:p>
        </w:tc>
        <w:tc>
          <w:tcPr>
            <w:tcW w:w="1506" w:type="dxa"/>
            <w:noWrap/>
          </w:tcPr>
          <w:p w:rsidR="00BC5AF4" w:rsidRDefault="003A1DFE">
            <w:pPr>
              <w:spacing w:line="360" w:lineRule="exact"/>
              <w:jc w:val="center"/>
              <w:rPr>
                <w:rFonts w:ascii="宋体" w:hAnsi="宋体"/>
                <w:color w:val="000000"/>
              </w:rPr>
            </w:pPr>
            <w:r>
              <w:rPr>
                <w:rFonts w:ascii="宋体" w:hAnsi="宋体" w:hint="eastAsia"/>
                <w:color w:val="000000"/>
              </w:rPr>
              <w:t>区水务局、区政务服务</w:t>
            </w:r>
          </w:p>
          <w:p w:rsidR="00BC5AF4" w:rsidRDefault="003A1DFE">
            <w:pPr>
              <w:spacing w:line="360" w:lineRule="exact"/>
              <w:jc w:val="center"/>
              <w:rPr>
                <w:rFonts w:ascii="宋体" w:hAnsi="宋体"/>
                <w:color w:val="000000"/>
              </w:rPr>
            </w:pPr>
            <w:r>
              <w:rPr>
                <w:rFonts w:ascii="宋体" w:hAnsi="宋体" w:hint="eastAsia"/>
                <w:color w:val="000000"/>
              </w:rPr>
              <w:t>办</w:t>
            </w:r>
          </w:p>
        </w:tc>
        <w:tc>
          <w:tcPr>
            <w:tcW w:w="1491"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市规自局滨海分局、区城市管理委、区住建委、区公安交管局</w:t>
            </w:r>
          </w:p>
        </w:tc>
        <w:tc>
          <w:tcPr>
            <w:tcW w:w="1555"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文件印发后即执行</w:t>
            </w:r>
          </w:p>
        </w:tc>
      </w:tr>
      <w:tr w:rsidR="00BC5AF4">
        <w:trPr>
          <w:trHeight w:val="176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6</w:t>
            </w:r>
          </w:p>
        </w:tc>
        <w:tc>
          <w:tcPr>
            <w:tcW w:w="527" w:type="dxa"/>
            <w:vMerge/>
            <w:noWrap/>
          </w:tcPr>
          <w:p w:rsidR="00BC5AF4" w:rsidRDefault="00BC5AF4">
            <w:pPr>
              <w:spacing w:line="360" w:lineRule="exact"/>
              <w:jc w:val="center"/>
              <w:rPr>
                <w:rFonts w:ascii="宋体" w:hAnsi="宋体"/>
                <w:color w:val="000000"/>
              </w:rPr>
            </w:pPr>
          </w:p>
        </w:tc>
        <w:tc>
          <w:tcPr>
            <w:tcW w:w="2810" w:type="dxa"/>
            <w:noWrap/>
          </w:tcPr>
          <w:p w:rsidR="00BC5AF4" w:rsidRDefault="003A1DFE">
            <w:pPr>
              <w:spacing w:line="360" w:lineRule="exact"/>
              <w:jc w:val="center"/>
              <w:rPr>
                <w:rFonts w:ascii="宋体" w:hAnsi="宋体"/>
                <w:color w:val="000000"/>
              </w:rPr>
            </w:pPr>
            <w:r>
              <w:rPr>
                <w:rFonts w:ascii="宋体" w:hAnsi="宋体" w:hint="eastAsia"/>
                <w:color w:val="000000"/>
              </w:rPr>
              <w:t>根据项目属性，对不同审批层级供水排水接入配套工程分别制定相应的协商和审批原则，并联办理行政许可事项承诺办理时限均压缩到</w:t>
            </w:r>
            <w:r>
              <w:rPr>
                <w:rFonts w:ascii="宋体" w:hAnsi="宋体" w:hint="eastAsia"/>
                <w:color w:val="000000"/>
              </w:rPr>
              <w:t>5</w:t>
            </w:r>
            <w:r>
              <w:rPr>
                <w:rFonts w:ascii="宋体" w:hAnsi="宋体" w:hint="eastAsia"/>
                <w:color w:val="000000"/>
              </w:rPr>
              <w:t>个工</w:t>
            </w:r>
          </w:p>
          <w:p w:rsidR="00BC5AF4" w:rsidRDefault="003A1DFE">
            <w:pPr>
              <w:spacing w:line="360" w:lineRule="exact"/>
              <w:jc w:val="center"/>
              <w:rPr>
                <w:rFonts w:ascii="宋体" w:hAnsi="宋体"/>
                <w:color w:val="000000"/>
              </w:rPr>
            </w:pPr>
            <w:r>
              <w:rPr>
                <w:rFonts w:ascii="宋体" w:hAnsi="宋体" w:hint="eastAsia"/>
                <w:color w:val="000000"/>
              </w:rPr>
              <w:lastRenderedPageBreak/>
              <w:t>作日以内。</w:t>
            </w:r>
          </w:p>
        </w:tc>
        <w:tc>
          <w:tcPr>
            <w:tcW w:w="1506" w:type="dxa"/>
            <w:noWrap/>
          </w:tcPr>
          <w:p w:rsidR="00BC5AF4" w:rsidRDefault="003A1DFE">
            <w:pPr>
              <w:spacing w:line="360" w:lineRule="exact"/>
              <w:jc w:val="center"/>
              <w:rPr>
                <w:rFonts w:ascii="宋体" w:hAnsi="宋体"/>
                <w:color w:val="000000"/>
              </w:rPr>
            </w:pPr>
            <w:r>
              <w:rPr>
                <w:rFonts w:ascii="宋体" w:hAnsi="宋体" w:hint="eastAsia"/>
                <w:color w:val="000000"/>
              </w:rPr>
              <w:lastRenderedPageBreak/>
              <w:t>区城市管理委、区公安交管局</w:t>
            </w:r>
          </w:p>
          <w:p w:rsidR="00BC5AF4" w:rsidRDefault="003A1DFE">
            <w:pPr>
              <w:spacing w:line="360" w:lineRule="exact"/>
              <w:jc w:val="center"/>
              <w:rPr>
                <w:rFonts w:ascii="宋体" w:hAnsi="宋体"/>
                <w:color w:val="000000"/>
              </w:rPr>
            </w:pPr>
            <w:r>
              <w:rPr>
                <w:rFonts w:ascii="宋体" w:hAnsi="宋体" w:hint="eastAsia"/>
                <w:color w:val="000000"/>
              </w:rPr>
              <w:t>按事项职能分别牵头</w:t>
            </w:r>
          </w:p>
        </w:tc>
        <w:tc>
          <w:tcPr>
            <w:tcW w:w="1491" w:type="dxa"/>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3A1DFE">
            <w:pPr>
              <w:spacing w:line="360" w:lineRule="exact"/>
              <w:jc w:val="center"/>
              <w:rPr>
                <w:rFonts w:ascii="宋体" w:hAnsi="宋体"/>
                <w:color w:val="000000"/>
              </w:rPr>
            </w:pPr>
            <w:r>
              <w:rPr>
                <w:rFonts w:ascii="宋体" w:hAnsi="宋体" w:hint="eastAsia"/>
                <w:color w:val="000000"/>
              </w:rPr>
              <w:t>区水务局</w:t>
            </w:r>
          </w:p>
        </w:tc>
        <w:tc>
          <w:tcPr>
            <w:tcW w:w="1555"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文件印发后即执行</w:t>
            </w:r>
          </w:p>
        </w:tc>
      </w:tr>
      <w:tr w:rsidR="00BC5AF4">
        <w:trPr>
          <w:trHeight w:val="176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lastRenderedPageBreak/>
              <w:t>7</w:t>
            </w:r>
          </w:p>
        </w:tc>
        <w:tc>
          <w:tcPr>
            <w:tcW w:w="527" w:type="dxa"/>
            <w:vMerge w:val="restart"/>
            <w:noWrap/>
          </w:tcPr>
          <w:p w:rsidR="00BC5AF4" w:rsidRDefault="00BC5AF4">
            <w:pPr>
              <w:spacing w:line="360" w:lineRule="exact"/>
              <w:jc w:val="center"/>
              <w:rPr>
                <w:rFonts w:ascii="宋体" w:hAnsi="宋体"/>
                <w:color w:val="000000"/>
              </w:rPr>
            </w:pPr>
          </w:p>
        </w:tc>
        <w:tc>
          <w:tcPr>
            <w:tcW w:w="2810" w:type="dxa"/>
            <w:noWrap/>
          </w:tcPr>
          <w:p w:rsidR="00BC5AF4" w:rsidRDefault="003A1DFE">
            <w:pPr>
              <w:spacing w:line="360" w:lineRule="exact"/>
              <w:jc w:val="center"/>
              <w:rPr>
                <w:rFonts w:ascii="宋体" w:hAnsi="宋体"/>
                <w:color w:val="000000"/>
              </w:rPr>
            </w:pPr>
            <w:r>
              <w:rPr>
                <w:rFonts w:ascii="宋体" w:hAnsi="宋体" w:hint="eastAsia"/>
                <w:color w:val="000000"/>
              </w:rPr>
              <w:t>对于我区简易低风险项目或长度在</w:t>
            </w:r>
            <w:r>
              <w:rPr>
                <w:rFonts w:ascii="宋体" w:hAnsi="宋体" w:hint="eastAsia"/>
                <w:color w:val="000000"/>
              </w:rPr>
              <w:t>200</w:t>
            </w:r>
            <w:r>
              <w:rPr>
                <w:rFonts w:ascii="宋体" w:hAnsi="宋体" w:hint="eastAsia"/>
                <w:color w:val="000000"/>
              </w:rPr>
              <w:t>米以下的供水排水接入配套工程不再办理工程规划相关行政许可事项；对于我区简易低风险项目或供水连接水管直径不大于</w:t>
            </w:r>
            <w:r>
              <w:rPr>
                <w:rFonts w:ascii="宋体" w:hAnsi="宋体" w:hint="eastAsia"/>
                <w:color w:val="000000"/>
              </w:rPr>
              <w:t>30</w:t>
            </w:r>
            <w:r>
              <w:rPr>
                <w:rFonts w:ascii="宋体" w:hAnsi="宋体" w:hint="eastAsia"/>
                <w:color w:val="000000"/>
              </w:rPr>
              <w:t>厘米、排水连接水管直径不大于</w:t>
            </w:r>
            <w:r>
              <w:rPr>
                <w:rFonts w:ascii="宋体" w:hAnsi="宋体" w:hint="eastAsia"/>
                <w:color w:val="000000"/>
              </w:rPr>
              <w:t>50</w:t>
            </w:r>
            <w:r>
              <w:rPr>
                <w:rFonts w:ascii="宋体" w:hAnsi="宋体" w:hint="eastAsia"/>
                <w:color w:val="000000"/>
              </w:rPr>
              <w:t>厘米，长度在</w:t>
            </w:r>
            <w:r>
              <w:rPr>
                <w:rFonts w:ascii="宋体" w:hAnsi="宋体" w:hint="eastAsia"/>
                <w:color w:val="000000"/>
              </w:rPr>
              <w:t>200</w:t>
            </w:r>
            <w:r>
              <w:rPr>
                <w:rFonts w:ascii="宋体" w:hAnsi="宋体" w:hint="eastAsia"/>
                <w:color w:val="000000"/>
              </w:rPr>
              <w:t>米以下的局部管线接驳工程，不再办理项目备案、占用挖掘城市道路、临时占用城市绿化用地等行政许可事项。</w:t>
            </w:r>
          </w:p>
        </w:tc>
        <w:tc>
          <w:tcPr>
            <w:tcW w:w="1506" w:type="dxa"/>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3A1DFE">
            <w:pPr>
              <w:spacing w:line="360" w:lineRule="exact"/>
              <w:jc w:val="center"/>
              <w:rPr>
                <w:rFonts w:ascii="宋体" w:hAnsi="宋体"/>
                <w:color w:val="000000"/>
              </w:rPr>
            </w:pPr>
            <w:r>
              <w:rPr>
                <w:rFonts w:ascii="宋体" w:hAnsi="宋体" w:hint="eastAsia"/>
                <w:color w:val="000000"/>
              </w:rPr>
              <w:t>市规自局滨海分局、区城市</w:t>
            </w:r>
          </w:p>
          <w:p w:rsidR="00BC5AF4" w:rsidRDefault="003A1DFE">
            <w:pPr>
              <w:spacing w:line="360" w:lineRule="exact"/>
              <w:jc w:val="center"/>
              <w:rPr>
                <w:rFonts w:ascii="宋体" w:hAnsi="宋体"/>
                <w:color w:val="000000"/>
              </w:rPr>
            </w:pPr>
            <w:r>
              <w:rPr>
                <w:rFonts w:ascii="宋体" w:hAnsi="宋体" w:hint="eastAsia"/>
                <w:color w:val="000000"/>
              </w:rPr>
              <w:t>管理委、区公安交管局按事</w:t>
            </w:r>
          </w:p>
          <w:p w:rsidR="00BC5AF4" w:rsidRDefault="003A1DFE">
            <w:pPr>
              <w:spacing w:line="360" w:lineRule="exact"/>
              <w:jc w:val="center"/>
              <w:rPr>
                <w:rFonts w:ascii="宋体" w:hAnsi="宋体"/>
                <w:color w:val="000000"/>
              </w:rPr>
            </w:pPr>
            <w:r>
              <w:rPr>
                <w:rFonts w:ascii="宋体" w:hAnsi="宋体" w:hint="eastAsia"/>
                <w:color w:val="000000"/>
              </w:rPr>
              <w:t>项职能分别牵头</w:t>
            </w:r>
          </w:p>
        </w:tc>
        <w:tc>
          <w:tcPr>
            <w:tcW w:w="1491" w:type="dxa"/>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tc>
        <w:tc>
          <w:tcPr>
            <w:tcW w:w="1555"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文件印发后即执行</w:t>
            </w:r>
          </w:p>
        </w:tc>
      </w:tr>
      <w:tr w:rsidR="00BC5AF4">
        <w:trPr>
          <w:trHeight w:val="1760"/>
        </w:trPr>
        <w:tc>
          <w:tcPr>
            <w:tcW w:w="437"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8</w:t>
            </w:r>
          </w:p>
        </w:tc>
        <w:tc>
          <w:tcPr>
            <w:tcW w:w="527" w:type="dxa"/>
            <w:vMerge/>
            <w:noWrap/>
          </w:tcPr>
          <w:p w:rsidR="00BC5AF4" w:rsidRDefault="00BC5AF4">
            <w:pPr>
              <w:spacing w:line="360" w:lineRule="exact"/>
              <w:jc w:val="center"/>
              <w:rPr>
                <w:rFonts w:ascii="宋体" w:hAnsi="宋体"/>
                <w:color w:val="000000"/>
              </w:rPr>
            </w:pPr>
          </w:p>
        </w:tc>
        <w:tc>
          <w:tcPr>
            <w:tcW w:w="2810" w:type="dxa"/>
            <w:noWrap/>
          </w:tcPr>
          <w:p w:rsidR="00BC5AF4" w:rsidRDefault="003A1DFE">
            <w:pPr>
              <w:spacing w:line="360" w:lineRule="exact"/>
              <w:jc w:val="center"/>
              <w:rPr>
                <w:rFonts w:ascii="宋体" w:hAnsi="宋体"/>
                <w:color w:val="000000"/>
              </w:rPr>
            </w:pPr>
            <w:r>
              <w:rPr>
                <w:rFonts w:ascii="宋体" w:hAnsi="宋体" w:hint="eastAsia"/>
                <w:color w:val="000000"/>
              </w:rPr>
              <w:t>涉及占用挖掘城市道路、临时占用城市绿化用地的，建设单位提供破路方案、破绿方案、占路保护方案，确定管线的后期养护管理单位，并与相关设施养护管理部门签订管理协议（凡涉及交通安全、迁移一般树木的，施工前需征得公安交管、城市管理部门同意），并承诺不低于原设计标准恢复被占绿地后，即可施工。</w:t>
            </w:r>
          </w:p>
        </w:tc>
        <w:tc>
          <w:tcPr>
            <w:tcW w:w="1506" w:type="dxa"/>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3A1DFE">
            <w:pPr>
              <w:spacing w:line="360" w:lineRule="exact"/>
              <w:jc w:val="center"/>
              <w:rPr>
                <w:rFonts w:ascii="宋体" w:hAnsi="宋体"/>
                <w:color w:val="000000"/>
              </w:rPr>
            </w:pPr>
            <w:r>
              <w:rPr>
                <w:rFonts w:ascii="宋体" w:hAnsi="宋体" w:hint="eastAsia"/>
                <w:color w:val="000000"/>
              </w:rPr>
              <w:t>区城市管理委、区公安交管局</w:t>
            </w:r>
          </w:p>
          <w:p w:rsidR="00BC5AF4" w:rsidRDefault="003A1DFE">
            <w:pPr>
              <w:spacing w:line="360" w:lineRule="exact"/>
              <w:jc w:val="center"/>
              <w:rPr>
                <w:rFonts w:ascii="宋体" w:hAnsi="宋体"/>
                <w:color w:val="000000"/>
              </w:rPr>
            </w:pPr>
            <w:r>
              <w:rPr>
                <w:rFonts w:ascii="宋体" w:hAnsi="宋体" w:hint="eastAsia"/>
                <w:color w:val="000000"/>
              </w:rPr>
              <w:t>按事项职能分别牵头</w:t>
            </w:r>
          </w:p>
        </w:tc>
        <w:tc>
          <w:tcPr>
            <w:tcW w:w="1491" w:type="dxa"/>
            <w:noWrap/>
          </w:tcPr>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p w:rsidR="00BC5AF4" w:rsidRDefault="00BC5AF4">
            <w:pPr>
              <w:spacing w:line="360" w:lineRule="exact"/>
              <w:jc w:val="center"/>
              <w:rPr>
                <w:rFonts w:ascii="宋体" w:hAnsi="宋体"/>
                <w:color w:val="000000"/>
              </w:rPr>
            </w:pPr>
          </w:p>
        </w:tc>
        <w:tc>
          <w:tcPr>
            <w:tcW w:w="1555" w:type="dxa"/>
            <w:noWrap/>
            <w:vAlign w:val="center"/>
          </w:tcPr>
          <w:p w:rsidR="00BC5AF4" w:rsidRDefault="003A1DFE">
            <w:pPr>
              <w:spacing w:line="360" w:lineRule="exact"/>
              <w:jc w:val="center"/>
              <w:rPr>
                <w:rFonts w:ascii="宋体" w:hAnsi="宋体"/>
                <w:color w:val="000000"/>
              </w:rPr>
            </w:pPr>
            <w:r>
              <w:rPr>
                <w:rFonts w:ascii="宋体" w:hAnsi="宋体" w:hint="eastAsia"/>
                <w:color w:val="000000"/>
              </w:rPr>
              <w:t>文件印发后即执行</w:t>
            </w:r>
          </w:p>
        </w:tc>
      </w:tr>
    </w:tbl>
    <w:p w:rsidR="00BC5AF4" w:rsidRDefault="00BC5AF4"/>
    <w:p w:rsidR="00BC5AF4" w:rsidRDefault="00BC5AF4">
      <w:pPr>
        <w:ind w:firstLine="201"/>
        <w:jc w:val="left"/>
      </w:pPr>
    </w:p>
    <w:p w:rsidR="00BC5AF4" w:rsidRDefault="00BC5AF4">
      <w:pPr>
        <w:rPr>
          <w:rFonts w:ascii="仿宋_GB2312" w:eastAsia="仿宋_GB2312" w:hAnsi="仿宋"/>
          <w:sz w:val="32"/>
          <w:szCs w:val="32"/>
        </w:rPr>
      </w:pPr>
    </w:p>
    <w:sectPr w:rsidR="00BC5AF4" w:rsidSect="00BC5AF4">
      <w:footerReference w:type="even" r:id="rId8"/>
      <w:footerReference w:type="default" r:id="rId9"/>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FE" w:rsidRDefault="003A1DFE" w:rsidP="00BC5AF4">
      <w:r>
        <w:separator/>
      </w:r>
    </w:p>
  </w:endnote>
  <w:endnote w:type="continuationSeparator" w:id="0">
    <w:p w:rsidR="003A1DFE" w:rsidRDefault="003A1DFE" w:rsidP="00BC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Droid Sans"/>
    <w:panose1 w:val="020B0604030504040204"/>
    <w:charset w:val="00"/>
    <w:family w:val="swiss"/>
    <w:pitch w:val="default"/>
    <w:sig w:usb0="00000000" w:usb1="00000000"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F4" w:rsidRDefault="003A1DFE">
    <w:pPr>
      <w:pStyle w:val="a6"/>
      <w:framePr w:w="401" w:wrap="around" w:vAnchor="text" w:hAnchor="margin" w:xAlign="outside" w:y="4"/>
      <w:rPr>
        <w:rStyle w:val="a9"/>
        <w:rFonts w:ascii="Calibri" w:hAnsi="Calibri"/>
        <w:sz w:val="28"/>
        <w:szCs w:val="28"/>
      </w:rPr>
    </w:pPr>
    <w:r>
      <w:rPr>
        <w:rStyle w:val="a9"/>
        <w:rFonts w:ascii="Calibri" w:hAnsi="Calibri"/>
        <w:sz w:val="28"/>
        <w:szCs w:val="28"/>
      </w:rPr>
      <w:t>-</w:t>
    </w:r>
    <w:r w:rsidR="00BC5AF4">
      <w:rPr>
        <w:rStyle w:val="a9"/>
        <w:rFonts w:ascii="Calibri" w:hAnsi="Calibri"/>
        <w:sz w:val="28"/>
        <w:szCs w:val="28"/>
      </w:rPr>
      <w:fldChar w:fldCharType="begin"/>
    </w:r>
    <w:r>
      <w:rPr>
        <w:rStyle w:val="a9"/>
        <w:rFonts w:ascii="Calibri" w:hAnsi="Calibri"/>
        <w:sz w:val="28"/>
        <w:szCs w:val="28"/>
      </w:rPr>
      <w:instrText xml:space="preserve">PAGE  </w:instrText>
    </w:r>
    <w:r w:rsidR="00BC5AF4">
      <w:rPr>
        <w:rStyle w:val="a9"/>
        <w:rFonts w:ascii="Calibri" w:hAnsi="Calibri"/>
        <w:sz w:val="28"/>
        <w:szCs w:val="28"/>
      </w:rPr>
      <w:fldChar w:fldCharType="separate"/>
    </w:r>
    <w:r w:rsidR="00256623">
      <w:rPr>
        <w:rStyle w:val="a9"/>
        <w:rFonts w:ascii="Calibri" w:hAnsi="Calibri"/>
        <w:noProof/>
        <w:sz w:val="28"/>
        <w:szCs w:val="28"/>
      </w:rPr>
      <w:t>2</w:t>
    </w:r>
    <w:r w:rsidR="00BC5AF4">
      <w:rPr>
        <w:rStyle w:val="a9"/>
        <w:rFonts w:ascii="Calibri" w:hAnsi="Calibri"/>
        <w:sz w:val="28"/>
        <w:szCs w:val="28"/>
      </w:rPr>
      <w:fldChar w:fldCharType="end"/>
    </w:r>
    <w:r>
      <w:rPr>
        <w:rStyle w:val="a9"/>
        <w:rFonts w:ascii="Calibri" w:hAnsi="Calibri"/>
        <w:sz w:val="28"/>
        <w:szCs w:val="28"/>
      </w:rPr>
      <w:t>-</w:t>
    </w:r>
  </w:p>
  <w:p w:rsidR="00BC5AF4" w:rsidRDefault="00BC5AF4">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F4" w:rsidRDefault="003A1DFE">
    <w:pPr>
      <w:pStyle w:val="a6"/>
      <w:framePr w:w="661" w:wrap="around" w:vAnchor="text" w:hAnchor="page" w:x="9631" w:y="49"/>
      <w:ind w:firstLineChars="50" w:firstLine="140"/>
      <w:rPr>
        <w:rStyle w:val="a9"/>
        <w:rFonts w:ascii="宋体" w:hAnsi="宋体"/>
        <w:sz w:val="28"/>
        <w:szCs w:val="28"/>
      </w:rPr>
    </w:pPr>
    <w:r>
      <w:rPr>
        <w:rStyle w:val="a9"/>
        <w:rFonts w:ascii="宋体" w:hAnsi="宋体"/>
        <w:sz w:val="28"/>
        <w:szCs w:val="28"/>
      </w:rPr>
      <w:t>-</w:t>
    </w:r>
    <w:r w:rsidR="00BC5AF4">
      <w:rPr>
        <w:rStyle w:val="a9"/>
        <w:rFonts w:ascii="宋体" w:hAnsi="宋体"/>
        <w:sz w:val="28"/>
        <w:szCs w:val="28"/>
      </w:rPr>
      <w:fldChar w:fldCharType="begin"/>
    </w:r>
    <w:r>
      <w:rPr>
        <w:rStyle w:val="a9"/>
        <w:rFonts w:ascii="宋体" w:hAnsi="宋体"/>
        <w:sz w:val="28"/>
        <w:szCs w:val="28"/>
      </w:rPr>
      <w:instrText xml:space="preserve">PAGE  </w:instrText>
    </w:r>
    <w:r w:rsidR="00BC5AF4">
      <w:rPr>
        <w:rStyle w:val="a9"/>
        <w:rFonts w:ascii="宋体" w:hAnsi="宋体"/>
        <w:sz w:val="28"/>
        <w:szCs w:val="28"/>
      </w:rPr>
      <w:fldChar w:fldCharType="separate"/>
    </w:r>
    <w:r w:rsidR="00256623">
      <w:rPr>
        <w:rStyle w:val="a9"/>
        <w:rFonts w:ascii="宋体" w:hAnsi="宋体"/>
        <w:noProof/>
        <w:sz w:val="28"/>
        <w:szCs w:val="28"/>
      </w:rPr>
      <w:t>3</w:t>
    </w:r>
    <w:r w:rsidR="00BC5AF4">
      <w:rPr>
        <w:rStyle w:val="a9"/>
        <w:rFonts w:ascii="宋体" w:hAnsi="宋体"/>
        <w:sz w:val="28"/>
        <w:szCs w:val="28"/>
      </w:rPr>
      <w:fldChar w:fldCharType="end"/>
    </w:r>
    <w:r>
      <w:rPr>
        <w:rStyle w:val="a9"/>
        <w:rFonts w:ascii="宋体" w:hAnsi="宋体"/>
        <w:sz w:val="28"/>
        <w:szCs w:val="28"/>
      </w:rPr>
      <w:t>-</w:t>
    </w:r>
  </w:p>
  <w:p w:rsidR="00BC5AF4" w:rsidRDefault="00BC5AF4">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FE" w:rsidRDefault="003A1DFE" w:rsidP="00BC5AF4">
      <w:r>
        <w:separator/>
      </w:r>
    </w:p>
  </w:footnote>
  <w:footnote w:type="continuationSeparator" w:id="0">
    <w:p w:rsidR="003A1DFE" w:rsidRDefault="003A1DFE" w:rsidP="00BC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2F87B"/>
    <w:multiLevelType w:val="singleLevel"/>
    <w:tmpl w:val="7ED2F87B"/>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
    <w15:presenceInfo w15:providerId="None" w15:userId="办公室"/>
  </w15:person>
  <w15:person w15:author="王立成">
    <w15:presenceInfo w15:providerId="None" w15:userId="王立成"/>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evenAndOddHeaders/>
  <w:drawingGridHorizontalSpacing w:val="201"/>
  <w:drawingGridVerticalSpacing w:val="28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8E7F5D83"/>
    <w:rsid w:val="E37B6708"/>
    <w:rsid w:val="F7BB5D45"/>
    <w:rsid w:val="F7D7ABBF"/>
    <w:rsid w:val="FFF2CA8E"/>
    <w:rsid w:val="00000F20"/>
    <w:rsid w:val="000C7859"/>
    <w:rsid w:val="00172A27"/>
    <w:rsid w:val="00256623"/>
    <w:rsid w:val="0028362B"/>
    <w:rsid w:val="002A50C9"/>
    <w:rsid w:val="002C4097"/>
    <w:rsid w:val="003A1DFE"/>
    <w:rsid w:val="003B11BD"/>
    <w:rsid w:val="003C7618"/>
    <w:rsid w:val="003E14D5"/>
    <w:rsid w:val="00487E51"/>
    <w:rsid w:val="004B50D7"/>
    <w:rsid w:val="004C683E"/>
    <w:rsid w:val="00592030"/>
    <w:rsid w:val="00606629"/>
    <w:rsid w:val="006345C1"/>
    <w:rsid w:val="006B35B7"/>
    <w:rsid w:val="00735108"/>
    <w:rsid w:val="00775E31"/>
    <w:rsid w:val="00782980"/>
    <w:rsid w:val="007C2624"/>
    <w:rsid w:val="007E3A2B"/>
    <w:rsid w:val="007E4189"/>
    <w:rsid w:val="007E53CE"/>
    <w:rsid w:val="00833E29"/>
    <w:rsid w:val="0085732C"/>
    <w:rsid w:val="00880874"/>
    <w:rsid w:val="00886CC9"/>
    <w:rsid w:val="008E1D0B"/>
    <w:rsid w:val="00932084"/>
    <w:rsid w:val="00973629"/>
    <w:rsid w:val="0098400A"/>
    <w:rsid w:val="009F0934"/>
    <w:rsid w:val="00A37CFF"/>
    <w:rsid w:val="00B57537"/>
    <w:rsid w:val="00B61BF9"/>
    <w:rsid w:val="00BC5AF4"/>
    <w:rsid w:val="00C61B22"/>
    <w:rsid w:val="00CF668D"/>
    <w:rsid w:val="00D003A1"/>
    <w:rsid w:val="00D43918"/>
    <w:rsid w:val="00D740FC"/>
    <w:rsid w:val="00DA0B94"/>
    <w:rsid w:val="00E177B7"/>
    <w:rsid w:val="00E434B1"/>
    <w:rsid w:val="00EA23BF"/>
    <w:rsid w:val="00F84EC7"/>
    <w:rsid w:val="00F91234"/>
    <w:rsid w:val="00FB4FE1"/>
    <w:rsid w:val="6A3DC550"/>
    <w:rsid w:val="6EBD2312"/>
    <w:rsid w:val="75DC65E4"/>
    <w:rsid w:val="7F9A9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A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BC5AF4"/>
    <w:rPr>
      <w:rFonts w:ascii="仿宋_GB2312" w:eastAsia="仿宋_GB2312" w:hAnsi="宋体"/>
      <w:color w:val="000000"/>
      <w:sz w:val="28"/>
      <w:szCs w:val="28"/>
      <w:lang w:val="en-GB"/>
    </w:rPr>
  </w:style>
  <w:style w:type="paragraph" w:styleId="a4">
    <w:name w:val="Closing"/>
    <w:basedOn w:val="a"/>
    <w:qFormat/>
    <w:rsid w:val="00BC5AF4"/>
    <w:pPr>
      <w:ind w:leftChars="2100" w:left="100"/>
    </w:pPr>
    <w:rPr>
      <w:rFonts w:ascii="仿宋_GB2312" w:eastAsia="仿宋_GB2312" w:hAnsi="宋体"/>
      <w:color w:val="000000"/>
      <w:sz w:val="28"/>
      <w:szCs w:val="28"/>
      <w:lang w:val="en-GB"/>
    </w:rPr>
  </w:style>
  <w:style w:type="paragraph" w:styleId="a5">
    <w:name w:val="Balloon Text"/>
    <w:basedOn w:val="a"/>
    <w:qFormat/>
    <w:rsid w:val="00BC5AF4"/>
    <w:rPr>
      <w:sz w:val="18"/>
      <w:szCs w:val="18"/>
    </w:rPr>
  </w:style>
  <w:style w:type="paragraph" w:styleId="a6">
    <w:name w:val="footer"/>
    <w:basedOn w:val="a"/>
    <w:link w:val="Char"/>
    <w:qFormat/>
    <w:rsid w:val="00BC5AF4"/>
    <w:pPr>
      <w:tabs>
        <w:tab w:val="center" w:pos="4153"/>
        <w:tab w:val="right" w:pos="8306"/>
      </w:tabs>
      <w:snapToGrid w:val="0"/>
      <w:jc w:val="left"/>
    </w:pPr>
    <w:rPr>
      <w:sz w:val="18"/>
      <w:szCs w:val="18"/>
    </w:rPr>
  </w:style>
  <w:style w:type="paragraph" w:styleId="a7">
    <w:name w:val="header"/>
    <w:basedOn w:val="a"/>
    <w:qFormat/>
    <w:rsid w:val="00BC5AF4"/>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0"/>
    <w:qFormat/>
    <w:rsid w:val="00BC5AF4"/>
    <w:pPr>
      <w:spacing w:before="240" w:after="60"/>
      <w:jc w:val="center"/>
      <w:outlineLvl w:val="0"/>
    </w:pPr>
    <w:rPr>
      <w:rFonts w:ascii="Cambria" w:hAnsi="Cambria"/>
      <w:b/>
      <w:bCs/>
      <w:sz w:val="32"/>
      <w:szCs w:val="32"/>
    </w:rPr>
  </w:style>
  <w:style w:type="character" w:styleId="a9">
    <w:name w:val="page number"/>
    <w:basedOn w:val="a0"/>
    <w:qFormat/>
    <w:rsid w:val="00BC5AF4"/>
  </w:style>
  <w:style w:type="character" w:styleId="aa">
    <w:name w:val="FollowedHyperlink"/>
    <w:qFormat/>
    <w:rsid w:val="00BC5AF4"/>
    <w:rPr>
      <w:color w:val="800080"/>
      <w:u w:val="single"/>
    </w:rPr>
  </w:style>
  <w:style w:type="character" w:styleId="ab">
    <w:name w:val="Hyperlink"/>
    <w:qFormat/>
    <w:rsid w:val="00BC5AF4"/>
    <w:rPr>
      <w:color w:val="0000FF"/>
      <w:u w:val="single"/>
    </w:rPr>
  </w:style>
  <w:style w:type="paragraph" w:customStyle="1" w:styleId="Style2">
    <w:name w:val="_Style 2"/>
    <w:basedOn w:val="a"/>
    <w:qFormat/>
    <w:rsid w:val="00BC5AF4"/>
  </w:style>
  <w:style w:type="paragraph" w:customStyle="1" w:styleId="Standard">
    <w:name w:val="Standard"/>
    <w:qFormat/>
    <w:rsid w:val="00BC5AF4"/>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BC5AF4"/>
    <w:rPr>
      <w:rFonts w:ascii="Tahoma" w:hAnsi="Tahoma"/>
      <w:sz w:val="24"/>
      <w:szCs w:val="20"/>
    </w:rPr>
  </w:style>
  <w:style w:type="character" w:customStyle="1" w:styleId="Char0">
    <w:name w:val="标题 Char"/>
    <w:link w:val="a8"/>
    <w:qFormat/>
    <w:rsid w:val="00BC5AF4"/>
    <w:rPr>
      <w:rFonts w:ascii="Cambria" w:eastAsia="宋体" w:hAnsi="Cambria"/>
      <w:b/>
      <w:bCs/>
      <w:kern w:val="2"/>
      <w:sz w:val="32"/>
      <w:szCs w:val="32"/>
      <w:lang w:bidi="ar-SA"/>
    </w:rPr>
  </w:style>
  <w:style w:type="character" w:customStyle="1" w:styleId="Char">
    <w:name w:val="页脚 Char"/>
    <w:link w:val="a6"/>
    <w:qFormat/>
    <w:rsid w:val="00BC5AF4"/>
    <w:rPr>
      <w:rFonts w:eastAsia="宋体"/>
      <w:kern w:val="2"/>
      <w:sz w:val="18"/>
      <w:szCs w:val="18"/>
      <w:lang w:val="en-US" w:eastAsia="zh-CN" w:bidi="ar-SA"/>
    </w:rPr>
  </w:style>
  <w:style w:type="character" w:customStyle="1" w:styleId="HeiTi">
    <w:name w:val="Hei Ti"/>
    <w:qFormat/>
    <w:rsid w:val="00BC5AF4"/>
    <w:rPr>
      <w:rFonts w:ascii="黑体" w:eastAsia="黑体" w:hAnsi="黑体" w:cs="黑体"/>
      <w:sz w:val="32"/>
    </w:rPr>
  </w:style>
  <w:style w:type="character" w:customStyle="1" w:styleId="HeiTiBold">
    <w:name w:val="Hei Ti Bold"/>
    <w:qFormat/>
    <w:rsid w:val="00BC5AF4"/>
    <w:rPr>
      <w:rFonts w:ascii="黑体" w:eastAsia="黑体" w:hAnsi="黑体" w:cs="黑体"/>
      <w:b/>
      <w:sz w:val="32"/>
    </w:rPr>
  </w:style>
  <w:style w:type="character" w:customStyle="1" w:styleId="HeiTiBold1">
    <w:name w:val="Hei Ti Bold1"/>
    <w:qFormat/>
    <w:rsid w:val="00BC5AF4"/>
    <w:rPr>
      <w:rFonts w:ascii="黑体" w:eastAsia="黑体" w:hAnsi="黑体" w:cs="黑体"/>
      <w:b/>
      <w:sz w:val="36"/>
    </w:rPr>
  </w:style>
  <w:style w:type="character" w:customStyle="1" w:styleId="GB2312">
    <w:name w:val="GB_2312"/>
    <w:qFormat/>
    <w:rsid w:val="00BC5AF4"/>
    <w:rPr>
      <w:rFonts w:ascii="仿宋_GB2312" w:eastAsia="仿宋_GB2312" w:hAnsi="仿宋_GB2312" w:cs="仿宋_GB2312"/>
      <w:sz w:val="32"/>
    </w:rPr>
  </w:style>
  <w:style w:type="character" w:customStyle="1" w:styleId="GB23121">
    <w:name w:val="GB_23121"/>
    <w:qFormat/>
    <w:rsid w:val="00BC5AF4"/>
    <w:rPr>
      <w:rFonts w:ascii="仿宋_GB2312" w:eastAsia="仿宋_GB2312" w:hAnsi="仿宋_GB2312" w:cs="仿宋_GB2312"/>
      <w:sz w:val="36"/>
    </w:rPr>
  </w:style>
  <w:style w:type="character" w:customStyle="1" w:styleId="RedColor">
    <w:name w:val="Red_Color"/>
    <w:qFormat/>
    <w:rsid w:val="00BC5AF4"/>
    <w:rPr>
      <w:rFonts w:ascii="方正小标宋简体" w:eastAsia="方正小标宋简体" w:hAnsi="方正小标宋简体" w:cs="方正小标宋简体"/>
      <w:color w:val="000000"/>
      <w:sz w:val="65"/>
    </w:rPr>
  </w:style>
  <w:style w:type="character" w:customStyle="1" w:styleId="KaiTi">
    <w:name w:val="KaiTi"/>
    <w:qFormat/>
    <w:rsid w:val="00BC5AF4"/>
    <w:rPr>
      <w:rFonts w:ascii="楷体_GB2312" w:eastAsia="楷体_GB2312" w:hAnsi="楷体_GB2312" w:cs="楷体_GB2312"/>
      <w:sz w:val="32"/>
    </w:rPr>
  </w:style>
  <w:style w:type="character" w:customStyle="1" w:styleId="FzXbs">
    <w:name w:val="Fz_Xbs"/>
    <w:qFormat/>
    <w:rsid w:val="00BC5AF4"/>
    <w:rPr>
      <w:rFonts w:ascii="方正小标宋简体" w:eastAsia="方正小标宋简体" w:hAnsi="方正小标宋简体" w:cs="方正小标宋简体"/>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221</Words>
  <Characters>1265</Characters>
  <Application>Microsoft Office Word</Application>
  <DocSecurity>0</DocSecurity>
  <Lines>10</Lines>
  <Paragraphs>2</Paragraphs>
  <ScaleCrop>false</ScaleCrop>
  <Company>微软中国</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Administrator</cp:lastModifiedBy>
  <cp:revision>4</cp:revision>
  <cp:lastPrinted>2014-07-06T04:32:00Z</cp:lastPrinted>
  <dcterms:created xsi:type="dcterms:W3CDTF">2020-08-27T09:23:00Z</dcterms:created>
  <dcterms:modified xsi:type="dcterms:W3CDTF">2022-11-09T07:50:00Z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