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天津市滨海新区水务局2020年部门预算</w:t>
      </w: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编制说明</w:t>
      </w:r>
    </w:p>
    <w:p>
      <w:pPr>
        <w:adjustRightInd w:val="0"/>
        <w:spacing w:line="600" w:lineRule="exact"/>
        <w:jc w:val="left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天津市滨海新区水务局部门主要职责是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</w:rPr>
        <w:t>贯彻执行有关水资源、水域和水利工程管理保护，城市供排水、节水、水文、水土保持等工作的法律、法规、规章和方针政策，并组织实施和监督检查</w:t>
      </w:r>
      <w:r>
        <w:rPr>
          <w:rFonts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水务局</w:t>
      </w:r>
      <w:r>
        <w:rPr>
          <w:rFonts w:eastAsia="仿宋_GB2312"/>
          <w:sz w:val="30"/>
          <w:szCs w:val="30"/>
        </w:rPr>
        <w:t>内设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5</w:t>
      </w:r>
      <w:r>
        <w:rPr>
          <w:rFonts w:eastAsia="仿宋_GB2312"/>
          <w:sz w:val="30"/>
          <w:szCs w:val="30"/>
        </w:rPr>
        <w:t>个职能处室；下辖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22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14588.69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14588.69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14588.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9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14588.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9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14588.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>9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0.2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14588.49</w:t>
      </w:r>
      <w:r>
        <w:rPr>
          <w:rFonts w:hint="eastAsia" w:eastAsia="仿宋_GB2312"/>
          <w:sz w:val="30"/>
          <w:szCs w:val="30"/>
        </w:rPr>
        <w:t>万元，与2019年预算相比增加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 xml:space="preserve">14588.49 </w:t>
      </w:r>
      <w:r>
        <w:rPr>
          <w:rFonts w:hint="eastAsia" w:eastAsia="仿宋_GB2312"/>
          <w:sz w:val="30"/>
          <w:szCs w:val="30"/>
        </w:rPr>
        <w:t>万元，其中：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 xml:space="preserve">2120106 </w:t>
      </w:r>
      <w:r>
        <w:rPr>
          <w:rFonts w:hint="eastAsia" w:eastAsia="仿宋_GB2312"/>
          <w:sz w:val="30"/>
          <w:szCs w:val="30"/>
        </w:rPr>
        <w:t>工程建设管理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1070.98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>塘沽排水管理所事业单位人员支出及公用支出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2120199</w:t>
      </w:r>
      <w:r>
        <w:rPr>
          <w:rFonts w:hint="eastAsia" w:eastAsia="仿宋_GB2312"/>
          <w:sz w:val="30"/>
          <w:szCs w:val="30"/>
        </w:rPr>
        <w:t xml:space="preserve"> 其他城乡社区管理事务支出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1305.4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>城乡管理事务事业单位人员支出及公用支出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 xml:space="preserve">2120399 </w:t>
      </w:r>
      <w:r>
        <w:rPr>
          <w:rFonts w:hint="eastAsia" w:eastAsia="仿宋_GB2312"/>
          <w:sz w:val="30"/>
          <w:szCs w:val="30"/>
        </w:rPr>
        <w:t>其他城乡社区公共设施支出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211.72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>汉沽排水所事业单位人员支出及公用支出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 xml:space="preserve">2130301 </w:t>
      </w:r>
      <w:r>
        <w:rPr>
          <w:rFonts w:hint="eastAsia" w:eastAsia="仿宋_GB2312"/>
          <w:sz w:val="30"/>
          <w:szCs w:val="30"/>
        </w:rPr>
        <w:t>行政运行（水利）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1526.19</w:t>
      </w:r>
      <w:r>
        <w:rPr>
          <w:rFonts w:hint="eastAsia" w:ascii="仿宋_GB2312"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机关</w:t>
      </w:r>
      <w:r>
        <w:rPr>
          <w:rFonts w:hint="eastAsia" w:eastAsia="仿宋_GB2312"/>
          <w:sz w:val="30"/>
          <w:szCs w:val="30"/>
          <w:u w:val="single"/>
        </w:rPr>
        <w:t>人员支出及公用支出；</w:t>
      </w:r>
    </w:p>
    <w:p>
      <w:pPr>
        <w:spacing w:line="600" w:lineRule="exact"/>
        <w:ind w:firstLine="640" w:firstLineChars="200"/>
        <w:rPr>
          <w:rFonts w:eastAsia="仿宋_GB2312"/>
          <w:sz w:val="30"/>
          <w:szCs w:val="30"/>
          <w:u w:val="single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2130304</w:t>
      </w:r>
      <w:r>
        <w:rPr>
          <w:rFonts w:hint="eastAsia" w:eastAsia="仿宋_GB2312"/>
          <w:sz w:val="30"/>
          <w:szCs w:val="30"/>
        </w:rPr>
        <w:t xml:space="preserve"> 水利行业业务管理</w:t>
      </w:r>
      <w:r>
        <w:rPr>
          <w:rFonts w:eastAsia="仿宋_GB2312"/>
          <w:sz w:val="30"/>
          <w:szCs w:val="30"/>
        </w:rPr>
        <w:t>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5616.9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>水利行业管理事业单位人员支出及公用支出；</w:t>
      </w:r>
    </w:p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2130306</w:t>
      </w:r>
      <w:r>
        <w:rPr>
          <w:rFonts w:hint="eastAsia" w:ascii="仿宋_GB2312" w:eastAsia="仿宋_GB2312"/>
          <w:sz w:val="30"/>
          <w:szCs w:val="30"/>
        </w:rPr>
        <w:t xml:space="preserve"> 水利工程运行维护支出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1385.16</w:t>
      </w:r>
      <w:r>
        <w:rPr>
          <w:rFonts w:hint="eastAsia" w:ascii="仿宋_GB2312"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  <w:u w:val="single"/>
        </w:rPr>
        <w:t>水利工程运行维护事业单位</w:t>
      </w:r>
      <w:r>
        <w:rPr>
          <w:rFonts w:hint="eastAsia" w:eastAsia="仿宋_GB2312"/>
          <w:sz w:val="30"/>
          <w:szCs w:val="30"/>
          <w:u w:val="single"/>
        </w:rPr>
        <w:t>人员支出及公用支出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2130311</w:t>
      </w:r>
      <w:r>
        <w:rPr>
          <w:rFonts w:hint="eastAsia" w:eastAsia="仿宋_GB2312"/>
          <w:sz w:val="30"/>
          <w:szCs w:val="30"/>
        </w:rPr>
        <w:t xml:space="preserve"> 水资源节约管理与保护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796.47</w:t>
      </w:r>
      <w:r>
        <w:rPr>
          <w:rFonts w:hint="eastAsia" w:eastAsia="仿宋_GB2312"/>
          <w:sz w:val="30"/>
          <w:szCs w:val="30"/>
        </w:rPr>
        <w:t>万元，</w:t>
      </w:r>
      <w:r>
        <w:rPr>
          <w:rFonts w:hint="eastAsia" w:ascii="仿宋_GB2312" w:eastAsia="仿宋_GB2312"/>
          <w:sz w:val="30"/>
          <w:szCs w:val="30"/>
        </w:rPr>
        <w:t>主要用于</w:t>
      </w:r>
      <w:r>
        <w:rPr>
          <w:rFonts w:hint="eastAsia" w:ascii="仿宋_GB2312" w:eastAsia="仿宋_GB2312"/>
          <w:sz w:val="30"/>
          <w:szCs w:val="30"/>
          <w:u w:val="single"/>
        </w:rPr>
        <w:t>节水服务事业单位</w:t>
      </w:r>
      <w:r>
        <w:rPr>
          <w:rFonts w:hint="eastAsia" w:eastAsia="仿宋_GB2312"/>
          <w:sz w:val="30"/>
          <w:szCs w:val="30"/>
          <w:u w:val="single"/>
        </w:rPr>
        <w:t>人员支出及公用支出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2130314</w:t>
      </w:r>
      <w:r>
        <w:rPr>
          <w:rFonts w:hint="eastAsia" w:eastAsia="仿宋_GB2312"/>
          <w:sz w:val="30"/>
          <w:szCs w:val="30"/>
        </w:rPr>
        <w:t xml:space="preserve"> 防汛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193.78</w:t>
      </w:r>
      <w:r>
        <w:rPr>
          <w:rFonts w:hint="eastAsia" w:eastAsia="仿宋_GB2312"/>
          <w:sz w:val="30"/>
          <w:szCs w:val="30"/>
        </w:rPr>
        <w:t>万元，</w:t>
      </w:r>
      <w:r>
        <w:rPr>
          <w:rFonts w:hint="eastAsia" w:ascii="仿宋_GB2312" w:eastAsia="仿宋_GB2312"/>
          <w:sz w:val="30"/>
          <w:szCs w:val="30"/>
        </w:rPr>
        <w:t>主要用于</w:t>
      </w:r>
      <w:r>
        <w:rPr>
          <w:rFonts w:hint="eastAsia" w:ascii="仿宋_GB2312" w:eastAsia="仿宋_GB2312"/>
          <w:sz w:val="30"/>
          <w:szCs w:val="30"/>
          <w:u w:val="single"/>
        </w:rPr>
        <w:t>塘沽水务物资站单位</w:t>
      </w:r>
      <w:r>
        <w:rPr>
          <w:rFonts w:hint="eastAsia" w:eastAsia="仿宋_GB2312"/>
          <w:sz w:val="30"/>
          <w:szCs w:val="30"/>
          <w:u w:val="single"/>
        </w:rPr>
        <w:t>人员支出及公用支出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2130399</w:t>
      </w:r>
      <w:r>
        <w:rPr>
          <w:rFonts w:hint="eastAsia" w:ascii="仿宋_GB2312" w:eastAsia="仿宋_GB2312"/>
          <w:sz w:val="30"/>
          <w:szCs w:val="30"/>
        </w:rPr>
        <w:t>其他水利支出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2481.89</w:t>
      </w:r>
      <w:r>
        <w:rPr>
          <w:rFonts w:hint="eastAsia" w:ascii="仿宋_GB2312" w:eastAsia="仿宋_GB2312"/>
          <w:sz w:val="30"/>
          <w:szCs w:val="30"/>
        </w:rPr>
        <w:t>万元，主要用于：</w:t>
      </w:r>
      <w:r>
        <w:rPr>
          <w:rFonts w:hint="eastAsia" w:ascii="仿宋_GB2312" w:eastAsia="仿宋_GB2312"/>
          <w:sz w:val="30"/>
          <w:szCs w:val="30"/>
          <w:u w:val="single"/>
        </w:rPr>
        <w:t>大港供水站和塘沽泵站管理所单位</w:t>
      </w:r>
      <w:r>
        <w:rPr>
          <w:rFonts w:hint="eastAsia" w:eastAsia="仿宋_GB2312"/>
          <w:sz w:val="30"/>
          <w:szCs w:val="30"/>
          <w:u w:val="single"/>
        </w:rPr>
        <w:t>人员支出及公用支出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152.63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11.99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邮电费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7</w:t>
      </w:r>
      <w:r>
        <w:rPr>
          <w:rFonts w:hint="eastAsia" w:eastAsia="仿宋_GB2312"/>
          <w:sz w:val="30"/>
          <w:szCs w:val="30"/>
        </w:rPr>
        <w:t>万元，差旅费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54</w:t>
      </w:r>
      <w:r>
        <w:rPr>
          <w:rFonts w:hint="eastAsia" w:eastAsia="仿宋_GB2312"/>
          <w:sz w:val="30"/>
          <w:szCs w:val="30"/>
        </w:rPr>
        <w:t>万元，会议费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0.2</w:t>
      </w:r>
      <w:r>
        <w:rPr>
          <w:rFonts w:hint="eastAsia" w:eastAsia="仿宋_GB2312"/>
          <w:sz w:val="30"/>
          <w:szCs w:val="30"/>
        </w:rPr>
        <w:t>万元，培训费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0.3</w:t>
      </w:r>
      <w:bookmarkStart w:id="0" w:name="_GoBack"/>
      <w:r>
        <w:rPr>
          <w:rFonts w:hint="eastAsia" w:eastAsia="仿宋_GB2312"/>
          <w:sz w:val="30"/>
          <w:szCs w:val="30"/>
          <w:lang w:eastAsia="zh-CN"/>
        </w:rPr>
        <w:t>万</w:t>
      </w:r>
      <w:bookmarkEnd w:id="0"/>
      <w:r>
        <w:rPr>
          <w:rFonts w:hint="eastAsia" w:eastAsia="仿宋_GB2312"/>
          <w:sz w:val="30"/>
          <w:szCs w:val="30"/>
        </w:rPr>
        <w:t>元，公务接待费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0.06</w:t>
      </w:r>
      <w:r>
        <w:rPr>
          <w:rFonts w:hint="eastAsia" w:eastAsia="仿宋_GB2312"/>
          <w:sz w:val="30"/>
          <w:szCs w:val="30"/>
        </w:rPr>
        <w:t>万元，工会经费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11.81</w:t>
      </w:r>
      <w:r>
        <w:rPr>
          <w:rFonts w:hint="eastAsia" w:eastAsia="仿宋_GB2312"/>
          <w:sz w:val="30"/>
          <w:szCs w:val="30"/>
        </w:rPr>
        <w:t>万元，福利费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18.09</w:t>
      </w:r>
      <w:r>
        <w:rPr>
          <w:rFonts w:hint="eastAsia" w:eastAsia="仿宋_GB2312"/>
          <w:sz w:val="30"/>
          <w:szCs w:val="30"/>
        </w:rPr>
        <w:t>万元，公务用车运行维护费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6</w:t>
      </w:r>
      <w:r>
        <w:rPr>
          <w:rFonts w:hint="eastAsia" w:eastAsia="仿宋_GB2312"/>
          <w:sz w:val="30"/>
          <w:szCs w:val="30"/>
        </w:rPr>
        <w:t>万元，交通费用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40.38</w:t>
      </w:r>
      <w:r>
        <w:rPr>
          <w:rFonts w:hint="eastAsia" w:eastAsia="仿宋_GB2312"/>
          <w:sz w:val="30"/>
          <w:szCs w:val="30"/>
        </w:rPr>
        <w:t>万元，其他商品和服务支出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2.8</w:t>
      </w:r>
      <w:r>
        <w:rPr>
          <w:rFonts w:hint="eastAsia"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hint="eastAsia" w:eastAsia="仿宋_GB2312"/>
          <w:color w:val="000000"/>
          <w:sz w:val="30"/>
          <w:szCs w:val="30"/>
        </w:rPr>
        <w:t>年未安排政府采购预算。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2019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58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副部（省）级及以上领导用车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 xml:space="preserve"> 0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11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47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必要的业务用车和班车等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万元以上的通用设备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万元以上的专用设备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7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ascii="Times New Roman" w:hAnsi="Times New Roman" w:cs="Times New Roman"/>
          <w:kern w:val="0"/>
          <w:sz w:val="32"/>
          <w:szCs w:val="32"/>
          <w:u w:val="single"/>
        </w:rPr>
        <w:t>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1.</w:t>
      </w:r>
      <w:r>
        <w:rPr>
          <w:rFonts w:hint="eastAsia" w:eastAsia="仿宋_GB2312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hint="eastAsia" w:eastAsia="仿宋_GB2312"/>
          <w:sz w:val="30"/>
          <w:szCs w:val="30"/>
        </w:rPr>
        <w:t>年财政拨款政府性基金预算支出预算表为空表。</w:t>
      </w:r>
    </w:p>
    <w:p>
      <w:pPr>
        <w:spacing w:line="60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2.</w:t>
      </w:r>
      <w:r>
        <w:rPr>
          <w:rFonts w:hint="eastAsia" w:eastAsia="仿宋_GB2312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hint="eastAsia" w:eastAsia="仿宋_GB2312"/>
          <w:sz w:val="30"/>
          <w:szCs w:val="30"/>
        </w:rPr>
        <w:t>年财政拨款项目支出预算表为空表。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3.</w:t>
      </w:r>
      <w:r>
        <w:rPr>
          <w:rFonts w:hint="eastAsia" w:eastAsia="仿宋_GB2312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hint="eastAsia" w:eastAsia="仿宋_GB2312"/>
          <w:sz w:val="30"/>
          <w:szCs w:val="30"/>
        </w:rPr>
        <w:t>年财政拨款政府采购预算表为空表。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（七）关于项目情况的说明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本部门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2020</w:t>
      </w:r>
      <w:r>
        <w:rPr>
          <w:rFonts w:hint="eastAsia" w:eastAsia="仿宋_GB2312"/>
          <w:sz w:val="30"/>
          <w:szCs w:val="30"/>
        </w:rPr>
        <w:t>年未安排项目支出。</w:t>
      </w:r>
    </w:p>
    <w:p>
      <w:pPr>
        <w:spacing w:line="6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F94"/>
    <w:rsid w:val="00002126"/>
    <w:rsid w:val="000124B4"/>
    <w:rsid w:val="000E1F2A"/>
    <w:rsid w:val="0012226B"/>
    <w:rsid w:val="00146288"/>
    <w:rsid w:val="0016768A"/>
    <w:rsid w:val="00177894"/>
    <w:rsid w:val="001C6249"/>
    <w:rsid w:val="001E4658"/>
    <w:rsid w:val="00227C2A"/>
    <w:rsid w:val="00267AED"/>
    <w:rsid w:val="00280F94"/>
    <w:rsid w:val="002B2CE0"/>
    <w:rsid w:val="002D062E"/>
    <w:rsid w:val="002F2F18"/>
    <w:rsid w:val="00383807"/>
    <w:rsid w:val="0056398D"/>
    <w:rsid w:val="00564F23"/>
    <w:rsid w:val="00572D96"/>
    <w:rsid w:val="005C395E"/>
    <w:rsid w:val="005C7B79"/>
    <w:rsid w:val="006D47A9"/>
    <w:rsid w:val="00715238"/>
    <w:rsid w:val="007222EE"/>
    <w:rsid w:val="00750EAE"/>
    <w:rsid w:val="00782119"/>
    <w:rsid w:val="0083495A"/>
    <w:rsid w:val="00865F07"/>
    <w:rsid w:val="00A34EBA"/>
    <w:rsid w:val="00A64C49"/>
    <w:rsid w:val="00BD7440"/>
    <w:rsid w:val="00C01D5E"/>
    <w:rsid w:val="00CE3A17"/>
    <w:rsid w:val="00D313D3"/>
    <w:rsid w:val="00D85076"/>
    <w:rsid w:val="00DC56DC"/>
    <w:rsid w:val="00DE7CED"/>
    <w:rsid w:val="00EC498D"/>
    <w:rsid w:val="00F564F9"/>
    <w:rsid w:val="068457C4"/>
    <w:rsid w:val="0AF60E1C"/>
    <w:rsid w:val="12B25A51"/>
    <w:rsid w:val="14041B8E"/>
    <w:rsid w:val="1BB91F5D"/>
    <w:rsid w:val="24586FB2"/>
    <w:rsid w:val="2942506C"/>
    <w:rsid w:val="2FEE62AA"/>
    <w:rsid w:val="37B71B33"/>
    <w:rsid w:val="41E55A56"/>
    <w:rsid w:val="52FB1079"/>
    <w:rsid w:val="5AAC1177"/>
    <w:rsid w:val="64655BF7"/>
    <w:rsid w:val="657209D7"/>
    <w:rsid w:val="746A74FF"/>
    <w:rsid w:val="766532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231</Words>
  <Characters>1322</Characters>
  <Lines>11</Lines>
  <Paragraphs>3</Paragraphs>
  <ScaleCrop>false</ScaleCrop>
  <LinksUpToDate>false</LinksUpToDate>
  <CharactersWithSpaces>1550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办公室</cp:lastModifiedBy>
  <cp:lastPrinted>2020-02-14T02:50:00Z</cp:lastPrinted>
  <dcterms:modified xsi:type="dcterms:W3CDTF">2020-02-14T07:57:37Z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